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655"/>
        <w:gridCol w:w="8424"/>
      </w:tblGrid>
      <w:tr>
        <w:tc>
          <w:tcPr>
            <w:tcW w:type="dxa" w:w="1656"/>
            <w:shd w:val="clear" w:color="auto" w:fill="FAF6F1"/>
            <w:vAlign w:val="center"/>
            <w:tcMar>
              <w:top w:w="120" w:type="dxa"/>
              <w:bottom w:w="120" w:type="dxa"/>
              <w:left w:w="140" w:type="dxa"/>
              <w:right w:w="60" w:type="dxa"/>
            </w:tcMar>
          </w:tcPr>
          <w:p>
            <w:r>
              <w:drawing>
                <wp:inline xmlns:a="http://schemas.openxmlformats.org/drawingml/2006/main" xmlns:pic="http://schemas.openxmlformats.org/drawingml/2006/picture">
                  <wp:extent cx="868680" cy="868680"/>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1"/>
                          <a:stretch>
                            <a:fillRect/>
                          </a:stretch>
                        </pic:blipFill>
                        <pic:spPr>
                          <a:xfrm>
                            <a:off x="0" y="0"/>
                            <a:ext cx="868680" cy="868680"/>
                          </a:xfrm>
                          <a:prstGeom prst="rect"/>
                        </pic:spPr>
                      </pic:pic>
                    </a:graphicData>
                  </a:graphic>
                </wp:inline>
              </w:drawing>
            </w:r>
          </w:p>
        </w:tc>
        <w:tc>
          <w:tcPr>
            <w:tcW w:type="dxa" w:w="8424"/>
            <w:shd w:val="clear" w:color="auto" w:fill="3D3A5C"/>
            <w:vAlign w:val="center"/>
            <w:tcMar>
              <w:top w:w="140" w:type="dxa"/>
              <w:bottom w:w="160" w:type="dxa"/>
              <w:left w:w="120" w:type="dxa"/>
              <w:right w:w="160" w:type="dxa"/>
            </w:tcMar>
          </w:tcPr>
          <w:p>
            <w:pPr>
              <w:spacing w:before="0" w:after="60"/>
            </w:pPr>
            <w:r>
              <w:rPr>
                <w:rFonts w:ascii="Calibri" w:hAnsi="Calibri" w:eastAsia="Calibri"/>
                <w:b/>
                <w:i w:val="0"/>
                <w:color w:val="C49A5A"/>
                <w:sz w:val="15"/>
                <w:spacing w:val="30"/>
              </w:rPr>
              <w:t>GLOBAL GRIEF NETWORK  |  LEARNER TOOLS</w:t>
            </w:r>
          </w:p>
          <w:p>
            <w:pPr>
              <w:spacing w:before="0" w:after="60"/>
            </w:pPr>
            <w:r>
              <w:rPr>
                <w:rFonts w:ascii="Georgia" w:hAnsi="Georgia" w:eastAsia="Georgia"/>
                <w:b w:val="0"/>
                <w:i w:val="0"/>
                <w:color w:val="FFFFFF"/>
                <w:sz w:val="42"/>
              </w:rPr>
              <w:t>Worksheet: Carrying Them With Me</w:t>
            </w:r>
          </w:p>
          <w:p>
            <w:pPr>
              <w:spacing w:before="0" w:after="0"/>
            </w:pPr>
            <w:r>
              <w:rPr>
                <w:rFonts w:ascii="Calibri" w:hAnsi="Calibri" w:eastAsia="Calibri"/>
                <w:b w:val="0"/>
                <w:i w:val="0"/>
                <w:color w:val="E6DFF0"/>
                <w:sz w:val="18"/>
              </w:rPr>
              <w:t>Worksheet  |  Love That Stays and legacy</w:t>
            </w:r>
          </w:p>
        </w:tc>
      </w:tr>
    </w:tbl>
    <w:p>
      <w:pPr>
        <w:spacing w:before="0" w:after="0" w:line="120" w:lineRule="exact"/>
      </w:pPr>
    </w:p>
    <w:p>
      <w:r>
        <w:drawing>
          <wp:inline xmlns:a="http://schemas.openxmlformats.org/drawingml/2006/main" xmlns:pic="http://schemas.openxmlformats.org/drawingml/2006/picture">
            <wp:extent cx="6400800" cy="1136984"/>
            <wp:docPr id="2" name="Picture 2"/>
            <wp:cNvGraphicFramePr>
              <a:graphicFrameLocks noChangeAspect="1"/>
            </wp:cNvGraphicFramePr>
            <a:graphic>
              <a:graphicData uri="http://schemas.openxmlformats.org/drawingml/2006/picture">
                <pic:pic>
                  <pic:nvPicPr>
                    <pic:cNvPr id="0" name="img_banner_lt_remember.jpg"/>
                    <pic:cNvPicPr/>
                  </pic:nvPicPr>
                  <pic:blipFill>
                    <a:blip r:embed="rId12"/>
                    <a:stretch>
                      <a:fillRect/>
                    </a:stretch>
                  </pic:blipFill>
                  <pic:spPr>
                    <a:xfrm>
                      <a:off x="0" y="0"/>
                      <a:ext cx="6400800" cy="1136984"/>
                    </a:xfrm>
                    <a:prstGeom prst="rect"/>
                  </pic:spPr>
                </pic:pic>
              </a:graphicData>
            </a:graphic>
          </wp:inline>
        </w:drawing>
      </w:r>
    </w:p>
    <w:p>
      <w:pPr>
        <w:spacing w:before="0" w:after="0" w:line="80" w:lineRule="exact"/>
      </w:pPr>
    </w:p>
    <w:p>
      <w:pPr>
        <w:spacing w:before="0" w:after="120"/>
      </w:pPr>
      <w:r>
        <w:rPr>
          <w:rFonts w:ascii="Calibri" w:hAnsi="Calibri" w:eastAsia="Calibri"/>
          <w:b/>
          <w:i w:val="0"/>
          <w:color w:val="6B6679"/>
          <w:sz w:val="18"/>
        </w:rPr>
        <w:t>About this page:</w:t>
      </w:r>
      <w:r>
        <w:rPr>
          <w:rFonts w:ascii="Calibri" w:hAnsi="Calibri" w:eastAsia="Calibri"/>
          <w:b w:val="0"/>
          <w:i w:val="0"/>
          <w:color w:val="6B6679"/>
          <w:sz w:val="18"/>
        </w:rPr>
        <w:t xml:space="preserve"> Many people stay connected to someone who has died through values, stories, rituals, and everyday habits. GGN calls this Love That Stays. This worksheet invites you to name what you want to carry forward. If your relationship was complicated, you can also name what you choose to set down.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Their name</w:t>
            </w:r>
          </w:p>
          <w:p>
            <w:pPr>
              <w:shd w:val="clear" w:color="auto" w:fill="FBF8F4"/>
              <w:spacing w:before="0" w:after="0"/>
            </w:pPr>
            <w:r>
              <w:rPr>
                <w:sz w:val="21"/>
              </w:rPr>
              <w:t xml:space="preserve"> </w:t>
            </w:r>
          </w:p>
        </w:tc>
        <w:tc>
          <w:tcPr>
            <w:tcW w:type="dxa" w:w="5040"/>
            <w:tcMar>
              <w:top w:w="50" w:type="dxa"/>
              <w:bottom w:w="70" w:type="dxa"/>
              <w:left w:w="60" w:type="dxa"/>
              <w:right w:w="100" w:type="dxa"/>
            </w:tcMar>
          </w:tcPr>
          <w:p>
            <w:pPr>
              <w:spacing w:before="0" w:after="20"/>
            </w:pPr>
            <w:r>
              <w:rPr>
                <w:rFonts w:ascii="Calibri" w:hAnsi="Calibri" w:eastAsia="Calibri"/>
                <w:b/>
                <w:i w:val="0"/>
                <w:color w:val="4A4670"/>
                <w:sz w:val="16"/>
              </w:rPr>
              <w:t>Who they were to me</w:t>
            </w:r>
          </w:p>
          <w:p>
            <w:pPr>
              <w:shd w:val="clear" w:color="auto" w:fill="FBF8F4"/>
              <w:spacing w:before="0" w:after="0"/>
            </w:pPr>
            <w:r>
              <w:rPr>
                <w:sz w:val="21"/>
              </w:rPr>
              <w:t xml:space="preserve"> </w:t>
            </w:r>
          </w:p>
        </w:tc>
      </w:tr>
    </w:tbl>
    <w:p>
      <w:pPr>
        <w:spacing w:before="0" w:after="0" w:line="80" w:lineRule="exact"/>
      </w:pPr>
    </w:p>
    <w:p>
      <w:pPr>
        <w:spacing w:before="200" w:after="80"/>
      </w:pPr>
      <w:r>
        <w:rPr>
          <w:rFonts w:ascii="Georgia" w:hAnsi="Georgia" w:eastAsia="Georgia"/>
          <w:b w:val="0"/>
          <w:i w:val="0"/>
          <w:color w:val="4A4670"/>
          <w:sz w:val="29"/>
        </w:rPr>
        <w:t>What I carry forward</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3225"/>
        <w:gridCol w:w="6854"/>
      </w:tblGrid>
      <w:tr>
        <w:trPr>
          <w:tblHeader w:val="true"/>
        </w:trPr>
        <w:tc>
          <w:tcPr>
            <w:tcW w:type="dxa" w:w="3226"/>
            <w:shd w:val="clear" w:color="auto" w:fill="4A4670"/>
          </w:tcPr>
          <w:p>
            <w:pPr>
              <w:spacing w:before="0" w:after="0"/>
            </w:pPr>
            <w:r>
              <w:rPr>
                <w:rFonts w:ascii="Calibri" w:hAnsi="Calibri" w:eastAsia="Calibri"/>
                <w:b/>
                <w:i w:val="0"/>
                <w:color w:val="FFFFFF"/>
                <w:sz w:val="17"/>
              </w:rPr>
              <w:t>Area</w:t>
            </w:r>
          </w:p>
        </w:tc>
        <w:tc>
          <w:tcPr>
            <w:tcW w:type="dxa" w:w="6854"/>
            <w:shd w:val="clear" w:color="auto" w:fill="4A4670"/>
          </w:tcPr>
          <w:p>
            <w:pPr>
              <w:spacing w:before="0" w:after="0"/>
            </w:pPr>
            <w:r>
              <w:rPr>
                <w:rFonts w:ascii="Calibri" w:hAnsi="Calibri" w:eastAsia="Calibri"/>
                <w:b/>
                <w:i w:val="0"/>
                <w:color w:val="FFFFFF"/>
                <w:sz w:val="17"/>
              </w:rPr>
              <w:t>What I want to carry forward</w:t>
            </w:r>
          </w:p>
        </w:tc>
      </w:tr>
      <w:tr>
        <w:trPr>
          <w:trHeight w:val="680" w:hRule="atLeast"/>
        </w:trPr>
        <w:tc>
          <w:tcPr>
            <w:tcW w:type="dxa" w:w="3226"/>
          </w:tcPr>
          <w:p>
            <w:pPr>
              <w:spacing w:before="0" w:after="0"/>
            </w:pPr>
            <w:r>
              <w:rPr>
                <w:rFonts w:ascii="Calibri" w:hAnsi="Calibri" w:eastAsia="Calibri"/>
                <w:b/>
                <w:i w:val="0"/>
                <w:color w:val="2D2A3E"/>
                <w:sz w:val="18"/>
              </w:rPr>
              <w:t>A value they lived by</w:t>
            </w:r>
          </w:p>
        </w:tc>
        <w:tc>
          <w:tcPr>
            <w:tcW w:type="dxa" w:w="6854"/>
          </w:tcPr>
          <w:p/>
        </w:tc>
      </w:tr>
      <w:tr>
        <w:trPr>
          <w:trHeight w:val="680" w:hRule="atLeast"/>
        </w:trPr>
        <w:tc>
          <w:tcPr>
            <w:tcW w:type="dxa" w:w="3226"/>
          </w:tcPr>
          <w:p>
            <w:pPr>
              <w:spacing w:before="0" w:after="0"/>
            </w:pPr>
            <w:r>
              <w:rPr>
                <w:rFonts w:ascii="Calibri" w:hAnsi="Calibri" w:eastAsia="Calibri"/>
                <w:b/>
                <w:i w:val="0"/>
                <w:color w:val="2D2A3E"/>
                <w:sz w:val="18"/>
              </w:rPr>
              <w:t>Something they taught me</w:t>
            </w:r>
          </w:p>
        </w:tc>
        <w:tc>
          <w:tcPr>
            <w:tcW w:type="dxa" w:w="6854"/>
          </w:tcPr>
          <w:p/>
        </w:tc>
      </w:tr>
      <w:tr>
        <w:trPr>
          <w:trHeight w:val="680" w:hRule="atLeast"/>
        </w:trPr>
        <w:tc>
          <w:tcPr>
            <w:tcW w:type="dxa" w:w="3226"/>
          </w:tcPr>
          <w:p>
            <w:pPr>
              <w:spacing w:before="0" w:after="0"/>
            </w:pPr>
            <w:r>
              <w:rPr>
                <w:rFonts w:ascii="Calibri" w:hAnsi="Calibri" w:eastAsia="Calibri"/>
                <w:b/>
                <w:i w:val="0"/>
                <w:color w:val="2D2A3E"/>
                <w:sz w:val="18"/>
              </w:rPr>
              <w:t>A saying or phrase of theirs</w:t>
            </w:r>
          </w:p>
        </w:tc>
        <w:tc>
          <w:tcPr>
            <w:tcW w:type="dxa" w:w="6854"/>
          </w:tcPr>
          <w:p/>
        </w:tc>
      </w:tr>
      <w:tr>
        <w:trPr>
          <w:trHeight w:val="680" w:hRule="atLeast"/>
        </w:trPr>
        <w:tc>
          <w:tcPr>
            <w:tcW w:type="dxa" w:w="3226"/>
          </w:tcPr>
          <w:p>
            <w:pPr>
              <w:spacing w:before="0" w:after="0"/>
            </w:pPr>
            <w:r>
              <w:rPr>
                <w:rFonts w:ascii="Calibri" w:hAnsi="Calibri" w:eastAsia="Calibri"/>
                <w:b/>
                <w:i w:val="0"/>
                <w:color w:val="2D2A3E"/>
                <w:sz w:val="18"/>
              </w:rPr>
              <w:t>A habit, skill, or recipe</w:t>
            </w:r>
          </w:p>
        </w:tc>
        <w:tc>
          <w:tcPr>
            <w:tcW w:type="dxa" w:w="6854"/>
          </w:tcPr>
          <w:p/>
        </w:tc>
      </w:tr>
      <w:tr>
        <w:trPr>
          <w:trHeight w:val="680" w:hRule="atLeast"/>
        </w:trPr>
        <w:tc>
          <w:tcPr>
            <w:tcW w:type="dxa" w:w="3226"/>
          </w:tcPr>
          <w:p>
            <w:pPr>
              <w:spacing w:before="0" w:after="0"/>
            </w:pPr>
            <w:r>
              <w:rPr>
                <w:rFonts w:ascii="Calibri" w:hAnsi="Calibri" w:eastAsia="Calibri"/>
                <w:b/>
                <w:i w:val="0"/>
                <w:color w:val="2D2A3E"/>
                <w:sz w:val="18"/>
              </w:rPr>
              <w:t>A place that connects us</w:t>
            </w:r>
          </w:p>
        </w:tc>
        <w:tc>
          <w:tcPr>
            <w:tcW w:type="dxa" w:w="6854"/>
          </w:tcPr>
          <w:p/>
        </w:tc>
      </w:tr>
      <w:tr>
        <w:trPr>
          <w:trHeight w:val="680" w:hRule="atLeast"/>
        </w:trPr>
        <w:tc>
          <w:tcPr>
            <w:tcW w:type="dxa" w:w="3226"/>
          </w:tcPr>
          <w:p>
            <w:pPr>
              <w:spacing w:before="0" w:after="0"/>
            </w:pPr>
            <w:r>
              <w:rPr>
                <w:rFonts w:ascii="Calibri" w:hAnsi="Calibri" w:eastAsia="Calibri"/>
                <w:b/>
                <w:i w:val="0"/>
                <w:color w:val="2D2A3E"/>
                <w:sz w:val="18"/>
              </w:rPr>
              <w:t>A cause or interest they cared about</w:t>
            </w:r>
          </w:p>
        </w:tc>
        <w:tc>
          <w:tcPr>
            <w:tcW w:type="dxa" w:w="6854"/>
          </w:tcPr>
          <w:p/>
        </w:tc>
      </w:tr>
    </w:tbl>
    <w:p>
      <w:pPr>
        <w:spacing w:before="0" w:after="0" w:line="160" w:lineRule="exact"/>
      </w:pPr>
    </w:p>
    <w:p>
      <w:pPr>
        <w:spacing w:before="0" w:after="40"/>
      </w:pPr>
      <w:r>
        <w:rPr>
          <w:rFonts w:ascii="Calibri" w:hAnsi="Calibri" w:eastAsia="Calibri"/>
          <w:b/>
          <w:i w:val="0"/>
          <w:color w:val="4A4670"/>
          <w:sz w:val="17"/>
        </w:rPr>
        <w:t>Something from our relationship that I choose to set down or not repeat</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1000" w:hRule="atLeast"/>
        </w:trPr>
        <w:tc>
          <w:tcPr>
            <w:tcW w:type="dxa" w:w="10080"/>
            <w:shd w:val="clear" w:color="auto" w:fill="FBF8F4"/>
          </w:tcPr>
          <w:p/>
        </w:tc>
      </w:tr>
    </w:tbl>
    <w:p>
      <w:pPr>
        <w:spacing w:before="0" w:after="0" w:line="120" w:lineRule="exact"/>
      </w:pPr>
    </w:p>
    <w:p>
      <w:pPr>
        <w:spacing w:before="200" w:after="80"/>
      </w:pPr>
      <w:r>
        <w:rPr>
          <w:rFonts w:ascii="Georgia" w:hAnsi="Georgia" w:eastAsia="Georgia"/>
          <w:b w:val="0"/>
          <w:i w:val="0"/>
          <w:color w:val="4A4670"/>
          <w:sz w:val="29"/>
        </w:rPr>
        <w:t>Ways to stay connected</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Say their name in conversation</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Keep an object of theirs close</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Mark their birthday in a new way</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Cook or make something of theirs</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Support something they cared about</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Talk or write to them</w:t>
            </w:r>
          </w:p>
        </w:tc>
      </w:tr>
      <w:tr>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Share stories with others who knew them</w:t>
            </w:r>
          </w:p>
        </w:tc>
        <w:tc>
          <w:tcPr>
            <w:tcW w:type="dxa" w:w="5040"/>
            <w:tcMar>
              <w:top w:w="20" w:type="dxa"/>
              <w:bottom w:w="20" w:type="dxa"/>
              <w:left w:w="40" w:type="dxa"/>
              <w:right w:w="80" w:type="dxa"/>
            </w:tcMar>
          </w:tcPr>
          <w:p>
            <w:pPr>
              <w:spacing w:before="0" w:after="0"/>
            </w:pPr>
            <w:r>
              <w:rPr>
                <w:rFonts w:ascii="Calibri" w:hAnsi="Calibri" w:eastAsia="Calibri"/>
                <w:b w:val="0"/>
                <w:i w:val="0"/>
                <w:color w:val="2D2A3E"/>
                <w:sz w:val="19"/>
              </w:rPr>
              <w:t>☐  Something else that fits me</w:t>
            </w:r>
          </w:p>
        </w:tc>
      </w:tr>
    </w:tbl>
    <w:p>
      <w:pPr>
        <w:spacing w:before="0" w:after="0" w:line="100" w:lineRule="exact"/>
      </w:pPr>
    </w:p>
    <w:p>
      <w:pPr>
        <w:spacing w:before="0" w:after="40"/>
      </w:pPr>
      <w:r>
        <w:rPr>
          <w:rFonts w:ascii="Calibri" w:hAnsi="Calibri" w:eastAsia="Calibri"/>
          <w:b/>
          <w:i w:val="0"/>
          <w:color w:val="4A4670"/>
          <w:sz w:val="17"/>
        </w:rPr>
        <w:t>One way I will carry them with me this month</w:t>
      </w:r>
    </w:p>
    <w:tbl>
      <w:tblPr>
        <w:tblW w:type="auto" w:w="0"/>
        <w:jc w:val="center"/>
        <w:tblLayout w:type="fixed"/>
        <w:tblLook w:firstColumn="1" w:firstRow="1" w:lastColumn="0" w:lastRow="0" w:noHBand="0" w:noVBand="1" w:val="04A0"/>
        <w:tblBorders>
          <w:top w:val="single" w:sz="4" w:color="E0D6C8"/>
          <w:left w:val="single" w:sz="4" w:color="E0D6C8"/>
          <w:bottom w:val="single" w:sz="4" w:color="E0D6C8"/>
          <w:right w:val="single" w:sz="4" w:color="E0D6C8"/>
          <w:insideH w:val="single" w:sz="4" w:color="E0D6C8"/>
          <w:insideV w:val="single" w:sz="4" w:color="E0D6C8"/>
        </w:tblBorders>
      </w:tblPr>
      <w:tblGrid>
        <w:gridCol w:w="10080"/>
      </w:tblGrid>
      <w:tr>
        <w:trPr>
          <w:trHeight w:val="2200" w:hRule="atLeast"/>
        </w:trPr>
        <w:tc>
          <w:tcPr>
            <w:tcW w:type="dxa" w:w="10080"/>
            <w:shd w:val="clear" w:color="auto" w:fill="FBF8F4"/>
          </w:tcPr>
          <w:p/>
        </w:tc>
      </w:tr>
    </w:tbl>
    <w:p>
      <w:pPr>
        <w:spacing w:before="0" w:after="0" w:line="120" w:lineRule="exact"/>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080"/>
      </w:tblGrid>
      <w:tr>
        <w:tc>
          <w:tcPr>
            <w:tcW w:type="dxa" w:w="10080"/>
            <w:shd w:val="clear" w:color="auto" w:fill="FFF4E5"/>
            <w:tcBorders>
              <w:top w:val="nil"/>
              <w:left w:val="single" w:sz="24" w:color="C49A5A" w:space="0"/>
              <w:bottom w:val="nil"/>
              <w:right w:val="nil"/>
            </w:tcBorders>
            <w:tcMar>
              <w:top w:w="120" w:type="dxa"/>
              <w:bottom w:w="120" w:type="dxa"/>
              <w:left w:w="200" w:type="dxa"/>
              <w:right w:w="160" w:type="dxa"/>
            </w:tcMar>
          </w:tcPr>
          <w:p>
            <w:pPr>
              <w:spacing w:before="0" w:after="60"/>
            </w:pPr>
            <w:r>
              <w:rPr>
                <w:rFonts w:ascii="Calibri" w:hAnsi="Calibri" w:eastAsia="Calibri"/>
                <w:b/>
                <w:i w:val="0"/>
                <w:color w:val="2D2A3E"/>
                <w:sz w:val="20"/>
              </w:rPr>
              <w:t>In immediate danger: call 911.</w:t>
            </w:r>
            <w:r>
              <w:rPr>
                <w:rFonts w:ascii="Calibri" w:hAnsi="Calibri" w:eastAsia="Calibri"/>
                <w:b w:val="0"/>
                <w:i w:val="0"/>
                <w:color w:val="2D2A3E"/>
                <w:sz w:val="20"/>
              </w:rPr>
              <w:t xml:space="preserve"> </w:t>
            </w:r>
            <w:r>
              <w:rPr>
                <w:rFonts w:ascii="Calibri" w:hAnsi="Calibri" w:eastAsia="Calibri"/>
                <w:b/>
                <w:i w:val="0"/>
                <w:color w:val="2D2A3E"/>
                <w:sz w:val="20"/>
              </w:rPr>
              <w:t>988 Suicide &amp; Crisis Lifeline:</w:t>
            </w:r>
            <w:r>
              <w:rPr>
                <w:rFonts w:ascii="Calibri" w:hAnsi="Calibri" w:eastAsia="Calibri"/>
                <w:b w:val="0"/>
                <w:i w:val="0"/>
                <w:color w:val="2D2A3E"/>
                <w:sz w:val="20"/>
              </w:rPr>
              <w:t xml:space="preserve"> call or text </w:t>
            </w:r>
            <w:r>
              <w:rPr>
                <w:rFonts w:ascii="Calibri" w:hAnsi="Calibri" w:eastAsia="Calibri"/>
                <w:b/>
                <w:i w:val="0"/>
                <w:color w:val="2D2A3E"/>
                <w:sz w:val="20"/>
              </w:rPr>
              <w:t>988</w:t>
            </w:r>
            <w:r>
              <w:rPr>
                <w:rFonts w:ascii="Calibri" w:hAnsi="Calibri" w:eastAsia="Calibri"/>
                <w:b w:val="0"/>
                <w:i w:val="0"/>
                <w:color w:val="2D2A3E"/>
                <w:sz w:val="20"/>
              </w:rPr>
              <w:t xml:space="preserve"> (US). Elsewhere, use your local emergency number and crisis line.</w:t>
            </w:r>
          </w:p>
        </w:tc>
      </w:tr>
    </w:tbl>
    <w:p>
      <w:pPr>
        <w:spacing w:before="0" w:after="0" w:line="120" w:lineRule="exact"/>
      </w:pPr>
    </w:p>
    <w:p>
      <w:r>
        <w:rPr>
          <w:b/>
          <w:sz w:val="16"/>
        </w:rPr>
        <w:t xml:space="preserve">Legal: </w:t>
      </w:r>
      <w:hyperlink r:id="rId13">
        <w:r>
          <w:rPr>
            <w:color w:val="3D5A9E"/>
            <w:u w:val="single"/>
            <w:sz w:val="16"/>
          </w:rPr>
          <w:t xml:space="preserve">Educational Use Disclaimer</w:t>
        </w:r>
      </w:hyperlink>
      <w:r>
        <w:rPr>
          <w:sz w:val="16"/>
        </w:rPr>
        <w:t xml:space="preserve">  |  </w:t>
      </w:r>
      <w:hyperlink r:id="rId14">
        <w:r>
          <w:rPr>
            <w:color w:val="3D5A9E"/>
            <w:u w:val="single"/>
            <w:sz w:val="16"/>
          </w:rPr>
          <w:t xml:space="preserve">Terms of Use</w:t>
        </w:r>
      </w:hyperlink>
      <w:r>
        <w:rPr>
          <w:sz w:val="16"/>
        </w:rPr>
        <w:t xml:space="preserve">  |  </w:t>
      </w:r>
      <w:hyperlink r:id="rId15">
        <w:r>
          <w:rPr>
            <w:color w:val="3D5A9E"/>
            <w:u w:val="single"/>
            <w:sz w:val="16"/>
          </w:rPr>
          <w:t xml:space="preserve">Privacy Policy</w:t>
        </w:r>
      </w:hyperlink>
      <w:r>
        <w:rPr>
          <w:sz w:val="16"/>
        </w:rPr>
        <w:t xml:space="preserve">  |  </w:t>
      </w:r>
      <w:hyperlink r:id="rId16">
        <w:r>
          <w:rPr>
            <w:color w:val="3D5A9E"/>
            <w:u w:val="single"/>
            <w:sz w:val="16"/>
          </w:rPr>
          <w:t xml:space="preserve">All GGN Legal and Policies</w:t>
        </w:r>
      </w:hyperlink>
    </w:p>
    <w:sectPr w:rsidR="00FC693F" w:rsidRPr="0006063C" w:rsidSect="00034616">
      <w:headerReference w:type="default" r:id="rId9"/>
      <w:footerReference w:type="default" r:id="rId10"/>
      <w:pgSz w:w="12240" w:h="15840"/>
      <w:pgMar w:top="1152" w:right="1080" w:bottom="1080"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alibri" w:hAnsi="Calibri" w:eastAsia="Calibri"/>
        <w:b w:val="0"/>
        <w:i w:val="0"/>
        <w:color w:val="6B6679"/>
        <w:sz w:val="15"/>
      </w:rPr>
      <w:t xml:space="preserve">Global Grief Network. For educational and support purposes; not a substitute for licensed mental health care.   Page </w:t>
    </w:r>
    <w:r>
      <w:rPr>
        <w:color w:val="6B6679"/>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329184" cy="329184"/>
          <wp:docPr id="1" name="Picture 1"/>
          <wp:cNvGraphicFramePr>
            <a:graphicFrameLocks noChangeAspect="1"/>
          </wp:cNvGraphicFramePr>
          <a:graphic>
            <a:graphicData uri="http://schemas.openxmlformats.org/drawingml/2006/picture">
              <pic:pic>
                <pic:nvPicPr>
                  <pic:cNvPr id="0" name="ggn-logo-clean_600.jpg"/>
                  <pic:cNvPicPr/>
                </pic:nvPicPr>
                <pic:blipFill>
                  <a:blip r:embed="rId1"/>
                  <a:stretch>
                    <a:fillRect/>
                  </a:stretch>
                </pic:blipFill>
                <pic:spPr>
                  <a:xfrm>
                    <a:off x="0" y="0"/>
                    <a:ext cx="329184" cy="329184"/>
                  </a:xfrm>
                  <a:prstGeom prst="rect"/>
                </pic:spPr>
              </pic:pic>
            </a:graphicData>
          </a:graphic>
        </wp:inline>
      </w:drawing>
    </w:r>
    <w:r>
      <w:rPr>
        <w:rFonts w:ascii="Calibri" w:hAnsi="Calibri" w:eastAsia="Calibri"/>
        <w:b w:val="0"/>
        <w:i w:val="0"/>
        <w:color w:val="6B6679"/>
        <w:sz w:val="15"/>
      </w:rPr>
      <w:t xml:space="preserve">   GGN LEARNER TOOLS  |  CARRYING THEM WITH ME   |   LEARNER TOOL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D2A3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s://drive.google.com/file/d/19aSbvSHn3G9npmbAf0YC0IvDewOJhDCM/view?usp=drivesdk" TargetMode="External"/><Relationship Id="rId14" Type="http://schemas.openxmlformats.org/officeDocument/2006/relationships/hyperlink" Target="https://drive.google.com/file/d/1_igt66_ukeCLEwxNtDo0CbL8bfjAHPGh/view?usp=drivesdk" TargetMode="External"/><Relationship Id="rId15" Type="http://schemas.openxmlformats.org/officeDocument/2006/relationships/hyperlink" Target="https://drive.google.com/file/d/1J3XM2aijNu3L_QtT6p5J4_nm7y0ZTxn9/view?usp=drivesdk" TargetMode="External"/><Relationship Id="rId16" Type="http://schemas.openxmlformats.org/officeDocument/2006/relationships/hyperlink" Target="https://drive.google.com/drive/folders/1Zm-s81sPQxTJR3osf6RUxNMeax2foD_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GGN Worksheet: Carrying Them With Me</dc:title>
  <dc:subject>Ggn Learner Tools</dc:subject>
  <dc:creator>Global Grief Network</dc:creator>
  <cp:keywords/>
  <dc:description>generated by python-docx</dc:description>
  <cp:lastModifiedBy/>
  <cp:revision>1</cp:revision>
  <dcterms:created xsi:type="dcterms:W3CDTF">2013-12-23T23:15:00Z</dcterms:created>
  <dcterms:modified xsi:type="dcterms:W3CDTF">2013-12-23T23:15:00Z</dcterms:modified>
  <cp:category/>
</cp:coreProperties>
</file>