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55"/>
        <w:gridCol w:w="8424"/>
      </w:tblGrid>
      <w:tr>
        <w:tc>
          <w:tcPr>
            <w:tcW w:type="dxa" w:w="1656"/>
            <w:shd w:val="clear" w:color="auto" w:fill="FAF6F1"/>
            <w:vAlign w:val="center"/>
            <w:tcMar>
              <w:top w:w="120" w:type="dxa"/>
              <w:bottom w:w="120" w:type="dxa"/>
              <w:left w:w="140" w:type="dxa"/>
              <w:right w:w="6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868680" cy="8686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gn-logo-clean_60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4"/>
            <w:shd w:val="clear" w:color="auto" w:fill="3D3A5C"/>
            <w:vAlign w:val="center"/>
            <w:tcMar>
              <w:top w:w="140" w:type="dxa"/>
              <w:bottom w:w="160" w:type="dxa"/>
              <w:left w:w="12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C49A5A"/>
                <w:sz w:val="15"/>
                <w:spacing w:val="30"/>
              </w:rPr>
              <w:t>GLOBAL GRIEF NETWORK  |  LEARNER TOOLS</w:t>
            </w:r>
          </w:p>
          <w:p>
            <w:pPr>
              <w:spacing w:before="0" w:after="60"/>
            </w:pPr>
            <w:r>
              <w:rPr>
                <w:rFonts w:ascii="Georgia" w:hAnsi="Georgia" w:eastAsia="Georgia"/>
                <w:b w:val="0"/>
                <w:i w:val="0"/>
                <w:color w:val="FFFFFF"/>
                <w:sz w:val="42"/>
              </w:rPr>
              <w:t>Worksheet: Both Sides of My Week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E6DFF0"/>
                <w:sz w:val="18"/>
              </w:rPr>
              <w:t>Worksheet  |  Breaks Belong: time with grief and time with life</w:t>
            </w:r>
          </w:p>
        </w:tc>
      </w:tr>
    </w:tbl>
    <w:p>
      <w:pPr>
        <w:spacing w:before="0" w:after="0" w:line="120" w:lineRule="exact"/>
      </w:pPr>
    </w:p>
    <w:p>
      <w:r>
        <w:drawing>
          <wp:inline xmlns:a="http://schemas.openxmlformats.org/drawingml/2006/main" xmlns:pic="http://schemas.openxmlformats.org/drawingml/2006/picture">
            <wp:extent cx="6400800" cy="1136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nner_lt_worksheet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36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80" w:lineRule="exact"/>
      </w:pPr>
    </w:p>
    <w:p>
      <w:pPr>
        <w:spacing w:before="0" w:after="120"/>
      </w:pPr>
      <w:r>
        <w:rPr>
          <w:rFonts w:ascii="Calibri" w:hAnsi="Calibri" w:eastAsia="Calibri"/>
          <w:b/>
          <w:i w:val="0"/>
          <w:color w:val="6B6679"/>
          <w:sz w:val="18"/>
        </w:rPr>
        <w:t>About this page:</w:t>
      </w:r>
      <w:r>
        <w:rPr>
          <w:rFonts w:ascii="Calibri" w:hAnsi="Calibri" w:eastAsia="Calibri"/>
          <w:b w:val="0"/>
          <w:i w:val="0"/>
          <w:color w:val="6B6679"/>
          <w:sz w:val="18"/>
        </w:rPr>
        <w:t xml:space="preserve"> GGN calls this idea Breaks Belong: grieving people often move back and forth between facing the loss and living with the changes in everyday life. Both matter, and taking breaks from grief is a healthy part of grieving. This worksheet helps you notice your own balance.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shd w:val="clear" w:color="auto" w:fill="F7F3EE"/>
            <w:tcBorders>
              <w:top w:val="single" w:sz="18" w:color="C49A5A" w:space="0"/>
              <w:left w:val="single" w:sz="24" w:color="FFFFFF" w:space="0"/>
              <w:bottom w:val="single" w:sz="24" w:color="FFFFFF" w:space="0"/>
              <w:right w:val="single" w:sz="24" w:color="FFFFFF" w:space="0"/>
            </w:tcBorders>
            <w:tcMar>
              <w:top w:w="100" w:type="dxa"/>
              <w:bottom w:w="120" w:type="dxa"/>
              <w:left w:w="140" w:type="dxa"/>
              <w:right w:w="14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i w:val="0"/>
                <w:color w:val="4A4670"/>
                <w:sz w:val="20"/>
              </w:rPr>
              <w:t>Facing the loss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For example: remembering, crying, looking at photos, visiting a grave, talking about them, writing to them.</w:t>
            </w:r>
          </w:p>
        </w:tc>
        <w:tc>
          <w:tcPr>
            <w:tcW w:type="dxa" w:w="5040"/>
            <w:shd w:val="clear" w:color="auto" w:fill="F7F3EE"/>
            <w:tcBorders>
              <w:top w:val="single" w:sz="18" w:color="C49A5A" w:space="0"/>
              <w:left w:val="single" w:sz="24" w:color="FFFFFF" w:space="0"/>
              <w:bottom w:val="single" w:sz="24" w:color="FFFFFF" w:space="0"/>
              <w:right w:val="single" w:sz="24" w:color="FFFFFF" w:space="0"/>
            </w:tcBorders>
            <w:tcMar>
              <w:top w:w="100" w:type="dxa"/>
              <w:bottom w:w="120" w:type="dxa"/>
              <w:left w:w="140" w:type="dxa"/>
              <w:right w:w="14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i w:val="0"/>
                <w:color w:val="4A4670"/>
                <w:sz w:val="20"/>
              </w:rPr>
              <w:t>Living with the changes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For example: handling paperwork, learning new tasks, seeing friends, resting, enjoying something, taking a break from grief.</w:t>
            </w:r>
          </w:p>
        </w:tc>
      </w:tr>
    </w:tbl>
    <w:p>
      <w:pPr>
        <w:spacing w:before="0" w:after="0" w:line="12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My week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411"/>
        <w:gridCol w:w="3124"/>
        <w:gridCol w:w="3124"/>
        <w:gridCol w:w="2419"/>
      </w:tblGrid>
      <w:tr>
        <w:trPr>
          <w:tblHeader w:val="true"/>
        </w:trPr>
        <w:tc>
          <w:tcPr>
            <w:tcW w:type="dxa" w:w="1411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3125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Time spent facing the loss</w:t>
            </w:r>
          </w:p>
        </w:tc>
        <w:tc>
          <w:tcPr>
            <w:tcW w:type="dxa" w:w="3125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Time spent with life and changes</w:t>
            </w:r>
          </w:p>
        </w:tc>
        <w:tc>
          <w:tcPr>
            <w:tcW w:type="dxa" w:w="2419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 break I took</w:t>
            </w:r>
          </w:p>
        </w:tc>
      </w:tr>
      <w:tr>
        <w:trPr>
          <w:trHeight w:val="600" w:hRule="atLeast"/>
        </w:trPr>
        <w:tc>
          <w:tcPr>
            <w:tcW w:type="dxa" w:w="1411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Monday</w:t>
            </w:r>
          </w:p>
        </w:tc>
        <w:tc>
          <w:tcPr>
            <w:tcW w:type="dxa" w:w="3125"/>
          </w:tcPr>
          <w:p/>
        </w:tc>
        <w:tc>
          <w:tcPr>
            <w:tcW w:type="dxa" w:w="3125"/>
          </w:tcPr>
          <w:p/>
        </w:tc>
        <w:tc>
          <w:tcPr>
            <w:tcW w:type="dxa" w:w="2419"/>
          </w:tcPr>
          <w:p/>
        </w:tc>
      </w:tr>
      <w:tr>
        <w:trPr>
          <w:trHeight w:val="600" w:hRule="atLeast"/>
        </w:trPr>
        <w:tc>
          <w:tcPr>
            <w:tcW w:type="dxa" w:w="1411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Tuesday</w:t>
            </w:r>
          </w:p>
        </w:tc>
        <w:tc>
          <w:tcPr>
            <w:tcW w:type="dxa" w:w="3125"/>
          </w:tcPr>
          <w:p/>
        </w:tc>
        <w:tc>
          <w:tcPr>
            <w:tcW w:type="dxa" w:w="3125"/>
          </w:tcPr>
          <w:p/>
        </w:tc>
        <w:tc>
          <w:tcPr>
            <w:tcW w:type="dxa" w:w="2419"/>
          </w:tcPr>
          <w:p/>
        </w:tc>
      </w:tr>
      <w:tr>
        <w:trPr>
          <w:trHeight w:val="600" w:hRule="atLeast"/>
        </w:trPr>
        <w:tc>
          <w:tcPr>
            <w:tcW w:type="dxa" w:w="1411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Wednesday</w:t>
            </w:r>
          </w:p>
        </w:tc>
        <w:tc>
          <w:tcPr>
            <w:tcW w:type="dxa" w:w="3125"/>
          </w:tcPr>
          <w:p/>
        </w:tc>
        <w:tc>
          <w:tcPr>
            <w:tcW w:type="dxa" w:w="3125"/>
          </w:tcPr>
          <w:p/>
        </w:tc>
        <w:tc>
          <w:tcPr>
            <w:tcW w:type="dxa" w:w="2419"/>
          </w:tcPr>
          <w:p/>
        </w:tc>
      </w:tr>
      <w:tr>
        <w:trPr>
          <w:trHeight w:val="600" w:hRule="atLeast"/>
        </w:trPr>
        <w:tc>
          <w:tcPr>
            <w:tcW w:type="dxa" w:w="1411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Thursday</w:t>
            </w:r>
          </w:p>
        </w:tc>
        <w:tc>
          <w:tcPr>
            <w:tcW w:type="dxa" w:w="3125"/>
          </w:tcPr>
          <w:p/>
        </w:tc>
        <w:tc>
          <w:tcPr>
            <w:tcW w:type="dxa" w:w="3125"/>
          </w:tcPr>
          <w:p/>
        </w:tc>
        <w:tc>
          <w:tcPr>
            <w:tcW w:type="dxa" w:w="2419"/>
          </w:tcPr>
          <w:p/>
        </w:tc>
      </w:tr>
      <w:tr>
        <w:trPr>
          <w:trHeight w:val="600" w:hRule="atLeast"/>
        </w:trPr>
        <w:tc>
          <w:tcPr>
            <w:tcW w:type="dxa" w:w="1411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Friday</w:t>
            </w:r>
          </w:p>
        </w:tc>
        <w:tc>
          <w:tcPr>
            <w:tcW w:type="dxa" w:w="3125"/>
          </w:tcPr>
          <w:p/>
        </w:tc>
        <w:tc>
          <w:tcPr>
            <w:tcW w:type="dxa" w:w="3125"/>
          </w:tcPr>
          <w:p/>
        </w:tc>
        <w:tc>
          <w:tcPr>
            <w:tcW w:type="dxa" w:w="2419"/>
          </w:tcPr>
          <w:p/>
        </w:tc>
      </w:tr>
      <w:tr>
        <w:trPr>
          <w:trHeight w:val="600" w:hRule="atLeast"/>
        </w:trPr>
        <w:tc>
          <w:tcPr>
            <w:tcW w:type="dxa" w:w="1411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Saturday</w:t>
            </w:r>
          </w:p>
        </w:tc>
        <w:tc>
          <w:tcPr>
            <w:tcW w:type="dxa" w:w="3125"/>
          </w:tcPr>
          <w:p/>
        </w:tc>
        <w:tc>
          <w:tcPr>
            <w:tcW w:type="dxa" w:w="3125"/>
          </w:tcPr>
          <w:p/>
        </w:tc>
        <w:tc>
          <w:tcPr>
            <w:tcW w:type="dxa" w:w="2419"/>
          </w:tcPr>
          <w:p/>
        </w:tc>
      </w:tr>
      <w:tr>
        <w:trPr>
          <w:trHeight w:val="600" w:hRule="atLeast"/>
        </w:trPr>
        <w:tc>
          <w:tcPr>
            <w:tcW w:type="dxa" w:w="1411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Sunday</w:t>
            </w:r>
          </w:p>
        </w:tc>
        <w:tc>
          <w:tcPr>
            <w:tcW w:type="dxa" w:w="3125"/>
          </w:tcPr>
          <w:p/>
        </w:tc>
        <w:tc>
          <w:tcPr>
            <w:tcW w:type="dxa" w:w="3125"/>
          </w:tcPr>
          <w:p/>
        </w:tc>
        <w:tc>
          <w:tcPr>
            <w:tcW w:type="dxa" w:w="2419"/>
          </w:tcPr>
          <w:p/>
        </w:tc>
      </w:tr>
    </w:tbl>
    <w:p>
      <w:pPr>
        <w:spacing w:before="0" w:after="0" w:line="1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Reflection</w:t>
      </w: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Which side did I spend more time on this week? How did that feel?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88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Is there something I have been avoiding that I might gently turn toward?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6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Is there a break, rest, or pleasure I could allow myself without guilt?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6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FF4E5"/>
            <w:tcBorders>
              <w:top w:val="nil"/>
              <w:left w:val="single" w:sz="24" w:color="C49A5A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In immediate danger: call 911.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 Suicide &amp; Crisis Lifeline: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call or text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(US). Elsewhere, use your local emergency number and crisis line.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sz w:val="16"/>
        </w:rPr>
        <w:t xml:space="preserve">Legal: </w:t>
      </w:r>
      <w:hyperlink r:id="rId13">
        <w:r>
          <w:rPr>
            <w:color w:val="3D5A9E"/>
            <w:u w:val="single"/>
            <w:sz w:val="16"/>
          </w:rPr>
          <w:t xml:space="preserve">Educational Use Disclaimer</w:t>
        </w:r>
      </w:hyperlink>
      <w:r>
        <w:rPr>
          <w:sz w:val="16"/>
        </w:rPr>
        <w:t xml:space="preserve">  |  </w:t>
      </w:r>
      <w:hyperlink r:id="rId14">
        <w:r>
          <w:rPr>
            <w:color w:val="3D5A9E"/>
            <w:u w:val="single"/>
            <w:sz w:val="16"/>
          </w:rPr>
          <w:t xml:space="preserve">Terms of Use</w:t>
        </w:r>
      </w:hyperlink>
      <w:r>
        <w:rPr>
          <w:sz w:val="16"/>
        </w:rPr>
        <w:t xml:space="preserve">  |  </w:t>
      </w:r>
      <w:hyperlink r:id="rId15">
        <w:r>
          <w:rPr>
            <w:color w:val="3D5A9E"/>
            <w:u w:val="single"/>
            <w:sz w:val="16"/>
          </w:rPr>
          <w:t xml:space="preserve">Privacy Policy</w:t>
        </w:r>
      </w:hyperlink>
      <w:r>
        <w:rPr>
          <w:sz w:val="16"/>
        </w:rPr>
        <w:t xml:space="preserve">  |  </w:t>
      </w:r>
      <w:hyperlink r:id="rId16">
        <w:r>
          <w:rPr>
            <w:color w:val="3D5A9E"/>
            <w:u w:val="single"/>
            <w:sz w:val="16"/>
          </w:rPr>
          <w:t xml:space="preserve">All GGN Legal and Policies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B6679"/>
        <w:sz w:val="15"/>
      </w:rPr>
      <w:t xml:space="preserve">Global Grief Network. For educational and support purposes; not a substitute for licensed mental health care.   Page </w:t>
    </w:r>
    <w:r>
      <w:rPr>
        <w:color w:val="6B6679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9184" cy="3291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gn-logo-clean_6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9184" cy="3291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6B6679"/>
        <w:sz w:val="15"/>
      </w:rPr>
      <w:t xml:space="preserve">   GGN LEARNER TOOLS  |  BOTH SIDES OF MY WEEK   |   LEARNER TOOL 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D2A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hyperlink" Target="https://drive.google.com/file/d/19aSbvSHn3G9npmbAf0YC0IvDewOJhDCM/view?usp=drivesdk" TargetMode="External"/><Relationship Id="rId14" Type="http://schemas.openxmlformats.org/officeDocument/2006/relationships/hyperlink" Target="https://drive.google.com/file/d/1_igt66_ukeCLEwxNtDo0CbL8bfjAHPGh/view?usp=drivesdk" TargetMode="External"/><Relationship Id="rId15" Type="http://schemas.openxmlformats.org/officeDocument/2006/relationships/hyperlink" Target="https://drive.google.com/file/d/1J3XM2aijNu3L_QtT6p5J4_nm7y0ZTxn9/view?usp=drivesdk" TargetMode="External"/><Relationship Id="rId16" Type="http://schemas.openxmlformats.org/officeDocument/2006/relationships/hyperlink" Target="https://drive.google.com/drive/folders/1Zm-s81sPQxTJR3osf6RUxNMeax2foD_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GGN Worksheet: Both Sides of My Week</dc:title>
  <dc:subject>Ggn Learner Tools</dc:subject>
  <dc:creator>Global Grief Network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