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655"/>
        <w:gridCol w:w="8424"/>
      </w:tblGrid>
      <w:tr>
        <w:tc>
          <w:tcPr>
            <w:tcW w:type="dxa" w:w="1656"/>
            <w:shd w:val="clear" w:color="auto" w:fill="FAF6F1"/>
            <w:vAlign w:val="center"/>
            <w:tcMar>
              <w:top w:w="120" w:type="dxa"/>
              <w:bottom w:w="120" w:type="dxa"/>
              <w:left w:w="140" w:type="dxa"/>
              <w:right w:w="60" w:type="dxa"/>
            </w:tcMar>
          </w:tcPr>
          <w:p>
            <w:r>
              <w:drawing>
                <wp:inline xmlns:a="http://schemas.openxmlformats.org/drawingml/2006/main" xmlns:pic="http://schemas.openxmlformats.org/drawingml/2006/picture">
                  <wp:extent cx="868680" cy="86868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ggn-logo-clean_600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8680" cy="8686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24"/>
            <w:shd w:val="clear" w:color="auto" w:fill="3D3A5C"/>
            <w:vAlign w:val="center"/>
            <w:tcMar>
              <w:top w:w="140" w:type="dxa"/>
              <w:bottom w:w="160" w:type="dxa"/>
              <w:left w:w="120" w:type="dxa"/>
              <w:right w:w="160" w:type="dxa"/>
            </w:tcMar>
          </w:tcPr>
          <w:p>
            <w:pPr>
              <w:spacing w:before="0" w:after="60"/>
            </w:pPr>
            <w:r>
              <w:rPr>
                <w:rFonts w:ascii="Calibri" w:hAnsi="Calibri" w:eastAsia="Calibri"/>
                <w:b/>
                <w:i w:val="0"/>
                <w:color w:val="C49A5A"/>
                <w:sz w:val="15"/>
                <w:spacing w:val="30"/>
              </w:rPr>
              <w:t>GLOBAL GRIEF NETWORK  |  LEARNER TOOLS</w:t>
            </w:r>
          </w:p>
          <w:p>
            <w:pPr>
              <w:spacing w:before="0" w:after="60"/>
            </w:pPr>
            <w:r>
              <w:rPr>
                <w:rFonts w:ascii="Georgia" w:hAnsi="Georgia" w:eastAsia="Georgia"/>
                <w:b w:val="0"/>
                <w:i w:val="0"/>
                <w:color w:val="FFFFFF"/>
                <w:sz w:val="42"/>
              </w:rPr>
              <w:t>Checklist: Preparing for Holidays and Anniversaries</w:t>
            </w:r>
          </w:p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i w:val="0"/>
                <w:color w:val="E6DFF0"/>
                <w:sz w:val="18"/>
              </w:rPr>
              <w:t>Checklist  |  Weeks before, the day itself, and after</w:t>
            </w:r>
          </w:p>
        </w:tc>
      </w:tr>
    </w:tbl>
    <w:p>
      <w:pPr>
        <w:spacing w:before="0" w:after="0" w:line="120" w:lineRule="exact"/>
      </w:pPr>
    </w:p>
    <w:p>
      <w:r>
        <w:drawing>
          <wp:inline xmlns:a="http://schemas.openxmlformats.org/drawingml/2006/main" xmlns:pic="http://schemas.openxmlformats.org/drawingml/2006/picture">
            <wp:extent cx="6400800" cy="1136984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g_banner_lt_checklists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1369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 w:after="0" w:line="80" w:lineRule="exact"/>
      </w:pPr>
    </w:p>
    <w:p>
      <w:pPr>
        <w:spacing w:before="0" w:after="120"/>
      </w:pPr>
      <w:r>
        <w:rPr>
          <w:rFonts w:ascii="Calibri" w:hAnsi="Calibri" w:eastAsia="Calibri"/>
          <w:b/>
          <w:i w:val="0"/>
          <w:color w:val="6B6679"/>
          <w:sz w:val="18"/>
        </w:rPr>
        <w:t>About this page:</w:t>
      </w:r>
      <w:r>
        <w:rPr>
          <w:rFonts w:ascii="Calibri" w:hAnsi="Calibri" w:eastAsia="Calibri"/>
          <w:b w:val="0"/>
          <w:i w:val="0"/>
          <w:color w:val="6B6679"/>
          <w:sz w:val="18"/>
        </w:rPr>
        <w:t xml:space="preserve"> Holidays, birthdays, and the anniversary of a death can stir grief, and the days before are often hard too. Use this checklist as a timeline. Pick the items that fit you and leave the rest.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0"/>
        <w:gridCol w:w="5040"/>
      </w:tblGrid>
      <w:tr>
        <w:tc>
          <w:tcPr>
            <w:tcW w:type="dxa" w:w="5040"/>
            <w:tcMar>
              <w:top w:w="50" w:type="dxa"/>
              <w:bottom w:w="70" w:type="dxa"/>
              <w:left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/>
                <w:i w:val="0"/>
                <w:color w:val="4A4670"/>
                <w:sz w:val="16"/>
              </w:rPr>
              <w:t>The day I am preparing for</w:t>
            </w:r>
          </w:p>
          <w:p>
            <w:pPr>
              <w:shd w:val="clear" w:color="auto" w:fill="FBF8F4"/>
              <w:spacing w:before="0" w:after="0"/>
            </w:pPr>
            <w:r>
              <w:rPr>
                <w:sz w:val="21"/>
              </w:rPr>
              <w:t xml:space="preserve"> </w:t>
            </w:r>
          </w:p>
        </w:tc>
        <w:tc>
          <w:tcPr>
            <w:tcW w:type="dxa" w:w="5040"/>
            <w:tcMar>
              <w:top w:w="50" w:type="dxa"/>
              <w:bottom w:w="70" w:type="dxa"/>
              <w:left w:w="60" w:type="dxa"/>
              <w:right w:w="100" w:type="dxa"/>
            </w:tcMar>
          </w:tcPr>
          <w:p>
            <w:pPr>
              <w:spacing w:before="0" w:after="20"/>
            </w:pPr>
            <w:r>
              <w:rPr>
                <w:rFonts w:ascii="Calibri" w:hAnsi="Calibri" w:eastAsia="Calibri"/>
                <w:b/>
                <w:i w:val="0"/>
                <w:color w:val="4A4670"/>
                <w:sz w:val="16"/>
              </w:rPr>
              <w:t>Date</w:t>
            </w:r>
          </w:p>
          <w:p>
            <w:pPr>
              <w:shd w:val="clear" w:color="auto" w:fill="FBF8F4"/>
              <w:spacing w:before="0" w:after="0"/>
            </w:pPr>
            <w:r>
              <w:rPr>
                <w:sz w:val="21"/>
              </w:rPr>
              <w:t xml:space="preserve"> </w:t>
            </w:r>
          </w:p>
        </w:tc>
      </w:tr>
    </w:tbl>
    <w:p>
      <w:pPr>
        <w:spacing w:before="0" w:after="0" w:line="80" w:lineRule="exact"/>
      </w:pPr>
    </w:p>
    <w:p>
      <w:pPr>
        <w:spacing w:before="200" w:after="80"/>
      </w:pPr>
      <w:r>
        <w:rPr>
          <w:rFonts w:ascii="Georgia" w:hAnsi="Georgia" w:eastAsia="Georgia"/>
          <w:b w:val="0"/>
          <w:i w:val="0"/>
          <w:color w:val="4A4670"/>
          <w:sz w:val="29"/>
        </w:rPr>
        <w:t>A few weeks before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0"/>
        <w:gridCol w:w="5040"/>
      </w:tblGrid>
      <w:tr>
        <w:tc>
          <w:tcPr>
            <w:tcW w:type="dxa" w:w="5040"/>
            <w:tcMar>
              <w:top w:w="20" w:type="dxa"/>
              <w:bottom w:w="20" w:type="dxa"/>
              <w:left w:w="4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i w:val="0"/>
                <w:color w:val="2D2A3E"/>
                <w:sz w:val="19"/>
              </w:rPr>
              <w:t>☐  Notice how I am feeling as the date gets closer</w:t>
            </w:r>
          </w:p>
        </w:tc>
        <w:tc>
          <w:tcPr>
            <w:tcW w:type="dxa" w:w="5040"/>
            <w:tcMar>
              <w:top w:w="20" w:type="dxa"/>
              <w:bottom w:w="20" w:type="dxa"/>
              <w:left w:w="4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i w:val="0"/>
                <w:color w:val="2D2A3E"/>
                <w:sz w:val="19"/>
              </w:rPr>
              <w:t>☐  Decide which traditions to keep, change, or skip this year</w:t>
            </w:r>
          </w:p>
        </w:tc>
      </w:tr>
      <w:tr>
        <w:tc>
          <w:tcPr>
            <w:tcW w:type="dxa" w:w="5040"/>
            <w:tcMar>
              <w:top w:w="20" w:type="dxa"/>
              <w:bottom w:w="20" w:type="dxa"/>
              <w:left w:w="4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i w:val="0"/>
                <w:color w:val="2D2A3E"/>
                <w:sz w:val="19"/>
              </w:rPr>
              <w:t>☐  Tell family or friends what I am planning</w:t>
            </w:r>
          </w:p>
        </w:tc>
        <w:tc>
          <w:tcPr>
            <w:tcW w:type="dxa" w:w="5040"/>
            <w:tcMar>
              <w:top w:w="20" w:type="dxa"/>
              <w:bottom w:w="20" w:type="dxa"/>
              <w:left w:w="4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i w:val="0"/>
                <w:color w:val="2D2A3E"/>
                <w:sz w:val="19"/>
              </w:rPr>
              <w:t>☐  Think about whether I want company or quiet</w:t>
            </w:r>
          </w:p>
        </w:tc>
      </w:tr>
      <w:tr>
        <w:tc>
          <w:tcPr>
            <w:tcW w:type="dxa" w:w="5040"/>
            <w:tcMar>
              <w:top w:w="20" w:type="dxa"/>
              <w:bottom w:w="20" w:type="dxa"/>
              <w:left w:w="4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i w:val="0"/>
                <w:color w:val="2D2A3E"/>
                <w:sz w:val="19"/>
              </w:rPr>
              <w:t>☐  Plan something small that honors them</w:t>
            </w:r>
          </w:p>
        </w:tc>
        <w:tc>
          <w:tcPr>
            <w:tcW w:type="dxa" w:w="5040"/>
            <w:tcMar>
              <w:top w:w="20" w:type="dxa"/>
              <w:bottom w:w="20" w:type="dxa"/>
              <w:left w:w="4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i w:val="0"/>
                <w:color w:val="2D2A3E"/>
                <w:sz w:val="19"/>
              </w:rPr>
              <w:t>☐  Check work or school schedules and ask for time off if needed</w:t>
            </w:r>
          </w:p>
        </w:tc>
      </w:tr>
    </w:tbl>
    <w:p>
      <w:pPr>
        <w:spacing w:before="0" w:after="0" w:line="100" w:lineRule="exact"/>
      </w:pPr>
    </w:p>
    <w:p>
      <w:pPr>
        <w:spacing w:before="200" w:after="80"/>
      </w:pPr>
      <w:r>
        <w:rPr>
          <w:rFonts w:ascii="Georgia" w:hAnsi="Georgia" w:eastAsia="Georgia"/>
          <w:b w:val="0"/>
          <w:i w:val="0"/>
          <w:color w:val="4A4670"/>
          <w:sz w:val="29"/>
        </w:rPr>
        <w:t>Traditions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0D6C8"/>
          <w:left w:val="single" w:sz="4" w:color="E0D6C8"/>
          <w:bottom w:val="single" w:sz="4" w:color="E0D6C8"/>
          <w:right w:val="single" w:sz="4" w:color="E0D6C8"/>
          <w:insideH w:val="single" w:sz="4" w:color="E0D6C8"/>
          <w:insideV w:val="single" w:sz="4" w:color="E0D6C8"/>
        </w:tblBorders>
      </w:tblPr>
      <w:tblGrid>
        <w:gridCol w:w="2520"/>
        <w:gridCol w:w="2520"/>
        <w:gridCol w:w="2520"/>
        <w:gridCol w:w="2520"/>
      </w:tblGrid>
      <w:tr>
        <w:trPr>
          <w:tblHeader w:val="true"/>
        </w:trPr>
        <w:tc>
          <w:tcPr>
            <w:tcW w:type="dxa" w:w="2520"/>
            <w:shd w:val="clear" w:color="auto" w:fill="4A4670"/>
          </w:tcPr>
          <w:p>
            <w:pPr>
              <w:spacing w:before="0"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Keep as it was</w:t>
            </w:r>
          </w:p>
        </w:tc>
        <w:tc>
          <w:tcPr>
            <w:tcW w:type="dxa" w:w="2520"/>
            <w:shd w:val="clear" w:color="auto" w:fill="4A4670"/>
          </w:tcPr>
          <w:p>
            <w:pPr>
              <w:spacing w:before="0"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Change or adapt</w:t>
            </w:r>
          </w:p>
        </w:tc>
        <w:tc>
          <w:tcPr>
            <w:tcW w:type="dxa" w:w="2520"/>
            <w:shd w:val="clear" w:color="auto" w:fill="4A4670"/>
          </w:tcPr>
          <w:p>
            <w:pPr>
              <w:spacing w:before="0"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Skip this year</w:t>
            </w:r>
          </w:p>
        </w:tc>
        <w:tc>
          <w:tcPr>
            <w:tcW w:type="dxa" w:w="2520"/>
            <w:shd w:val="clear" w:color="auto" w:fill="4A4670"/>
          </w:tcPr>
          <w:p>
            <w:pPr>
              <w:spacing w:before="0" w:after="0"/>
            </w:pPr>
            <w:r>
              <w:rPr>
                <w:rFonts w:ascii="Calibri" w:hAnsi="Calibri" w:eastAsia="Calibri"/>
                <w:b/>
                <w:i w:val="0"/>
                <w:color w:val="FFFFFF"/>
                <w:sz w:val="17"/>
              </w:rPr>
              <w:t>Try something new</w:t>
            </w:r>
          </w:p>
        </w:tc>
      </w:tr>
      <w:tr>
        <w:trPr>
          <w:trHeight w:val="600" w:hRule="atLeast"/>
        </w:trP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  <w:tr>
        <w:trPr>
          <w:trHeight w:val="600" w:hRule="atLeast"/>
        </w:trP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  <w:tr>
        <w:trPr>
          <w:trHeight w:val="600" w:hRule="atLeast"/>
        </w:trPr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  <w:tc>
          <w:tcPr>
            <w:tcW w:type="dxa" w:w="2520"/>
          </w:tcPr>
          <w:p/>
        </w:tc>
      </w:tr>
    </w:tbl>
    <w:p>
      <w:pPr>
        <w:spacing w:before="0" w:after="0" w:line="160" w:lineRule="exact"/>
      </w:pPr>
    </w:p>
    <w:p>
      <w:pPr>
        <w:spacing w:before="200" w:after="80"/>
      </w:pPr>
      <w:r>
        <w:rPr>
          <w:rFonts w:ascii="Georgia" w:hAnsi="Georgia" w:eastAsia="Georgia"/>
          <w:b w:val="0"/>
          <w:i w:val="0"/>
          <w:color w:val="4A4670"/>
          <w:sz w:val="29"/>
        </w:rPr>
        <w:t>The week before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0"/>
        <w:gridCol w:w="5040"/>
      </w:tblGrid>
      <w:tr>
        <w:tc>
          <w:tcPr>
            <w:tcW w:type="dxa" w:w="5040"/>
            <w:tcMar>
              <w:top w:w="20" w:type="dxa"/>
              <w:bottom w:w="20" w:type="dxa"/>
              <w:left w:w="4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i w:val="0"/>
                <w:color w:val="2D2A3E"/>
                <w:sz w:val="19"/>
              </w:rPr>
              <w:t>☐  Lower my expectations of myself</w:t>
            </w:r>
          </w:p>
        </w:tc>
        <w:tc>
          <w:tcPr>
            <w:tcW w:type="dxa" w:w="5040"/>
            <w:tcMar>
              <w:top w:w="20" w:type="dxa"/>
              <w:bottom w:w="20" w:type="dxa"/>
              <w:left w:w="4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i w:val="0"/>
                <w:color w:val="2D2A3E"/>
                <w:sz w:val="19"/>
              </w:rPr>
              <w:t>☐  Line up one person I can call</w:t>
            </w:r>
          </w:p>
        </w:tc>
      </w:tr>
      <w:tr>
        <w:tc>
          <w:tcPr>
            <w:tcW w:type="dxa" w:w="5040"/>
            <w:tcMar>
              <w:top w:w="20" w:type="dxa"/>
              <w:bottom w:w="20" w:type="dxa"/>
              <w:left w:w="4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i w:val="0"/>
                <w:color w:val="2D2A3E"/>
                <w:sz w:val="19"/>
              </w:rPr>
              <w:t>☐  Plan an exit if I attend a gathering</w:t>
            </w:r>
          </w:p>
        </w:tc>
        <w:tc>
          <w:tcPr>
            <w:tcW w:type="dxa" w:w="5040"/>
            <w:tcMar>
              <w:top w:w="20" w:type="dxa"/>
              <w:bottom w:w="20" w:type="dxa"/>
              <w:left w:w="4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i w:val="0"/>
                <w:color w:val="2D2A3E"/>
                <w:sz w:val="19"/>
              </w:rPr>
              <w:t>☐  Prepare simple meals ahead</w:t>
            </w:r>
          </w:p>
        </w:tc>
      </w:tr>
      <w:tr>
        <w:tc>
          <w:tcPr>
            <w:tcW w:type="dxa" w:w="5040"/>
            <w:tcMar>
              <w:top w:w="20" w:type="dxa"/>
              <w:bottom w:w="20" w:type="dxa"/>
              <w:left w:w="4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i w:val="0"/>
                <w:color w:val="2D2A3E"/>
                <w:sz w:val="19"/>
              </w:rPr>
              <w:t>☐  Limit extra commitments</w:t>
            </w:r>
          </w:p>
        </w:tc>
        <w:tc>
          <w:tcPr>
            <w:tcW w:type="dxa" w:w="5040"/>
            <w:tcMar>
              <w:top w:w="20" w:type="dxa"/>
              <w:bottom w:w="20" w:type="dxa"/>
              <w:left w:w="4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i w:val="0"/>
                <w:color w:val="2D2A3E"/>
                <w:sz w:val="19"/>
              </w:rPr>
              <w:t>☐  Keep crisis numbers handy</w:t>
            </w:r>
          </w:p>
        </w:tc>
      </w:tr>
    </w:tbl>
    <w:p>
      <w:pPr>
        <w:spacing w:before="0" w:after="0" w:line="100" w:lineRule="exact"/>
      </w:pPr>
    </w:p>
    <w:p>
      <w:pPr>
        <w:spacing w:before="200" w:after="80"/>
      </w:pPr>
      <w:r>
        <w:rPr>
          <w:rFonts w:ascii="Georgia" w:hAnsi="Georgia" w:eastAsia="Georgia"/>
          <w:b w:val="0"/>
          <w:i w:val="0"/>
          <w:color w:val="4A4670"/>
          <w:sz w:val="29"/>
        </w:rPr>
        <w:t>On the day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5040"/>
        <w:gridCol w:w="5040"/>
      </w:tblGrid>
      <w:tr>
        <w:tc>
          <w:tcPr>
            <w:tcW w:type="dxa" w:w="5040"/>
            <w:tcMar>
              <w:top w:w="20" w:type="dxa"/>
              <w:bottom w:w="20" w:type="dxa"/>
              <w:left w:w="4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i w:val="0"/>
                <w:color w:val="2D2A3E"/>
                <w:sz w:val="19"/>
              </w:rPr>
              <w:t>☐  Start the day with something steadying</w:t>
            </w:r>
          </w:p>
        </w:tc>
        <w:tc>
          <w:tcPr>
            <w:tcW w:type="dxa" w:w="5040"/>
            <w:tcMar>
              <w:top w:w="20" w:type="dxa"/>
              <w:bottom w:w="20" w:type="dxa"/>
              <w:left w:w="4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i w:val="0"/>
                <w:color w:val="2D2A3E"/>
                <w:sz w:val="19"/>
              </w:rPr>
              <w:t>☐  Make room to remember them, in my own way</w:t>
            </w:r>
          </w:p>
        </w:tc>
      </w:tr>
      <w:tr>
        <w:tc>
          <w:tcPr>
            <w:tcW w:type="dxa" w:w="5040"/>
            <w:tcMar>
              <w:top w:w="20" w:type="dxa"/>
              <w:bottom w:w="20" w:type="dxa"/>
              <w:left w:w="4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i w:val="0"/>
                <w:color w:val="2D2A3E"/>
                <w:sz w:val="19"/>
              </w:rPr>
              <w:t>☐  Take breaks when I need them</w:t>
            </w:r>
          </w:p>
        </w:tc>
        <w:tc>
          <w:tcPr>
            <w:tcW w:type="dxa" w:w="5040"/>
            <w:tcMar>
              <w:top w:w="20" w:type="dxa"/>
              <w:bottom w:w="20" w:type="dxa"/>
              <w:left w:w="4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i w:val="0"/>
                <w:color w:val="2D2A3E"/>
                <w:sz w:val="19"/>
              </w:rPr>
              <w:t>☐  Let people know if I need to leave early</w:t>
            </w:r>
          </w:p>
        </w:tc>
      </w:tr>
      <w:tr>
        <w:tc>
          <w:tcPr>
            <w:tcW w:type="dxa" w:w="5040"/>
            <w:tcMar>
              <w:top w:w="20" w:type="dxa"/>
              <w:bottom w:w="20" w:type="dxa"/>
              <w:left w:w="4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i w:val="0"/>
                <w:color w:val="2D2A3E"/>
                <w:sz w:val="19"/>
              </w:rPr>
              <w:t>☐  Eat something and drink water</w:t>
            </w:r>
          </w:p>
        </w:tc>
        <w:tc>
          <w:tcPr>
            <w:tcW w:type="dxa" w:w="5040"/>
            <w:tcMar>
              <w:top w:w="20" w:type="dxa"/>
              <w:bottom w:w="20" w:type="dxa"/>
              <w:left w:w="4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i w:val="0"/>
                <w:color w:val="2D2A3E"/>
                <w:sz w:val="19"/>
              </w:rPr>
              <w:t>☐  Be kind to myself about how the day goes</w:t>
            </w:r>
          </w:p>
        </w:tc>
      </w:tr>
    </w:tbl>
    <w:p>
      <w:pPr>
        <w:spacing w:before="0" w:after="0" w:line="100" w:lineRule="exact"/>
      </w:pPr>
    </w:p>
    <w:p>
      <w:pPr>
        <w:spacing w:before="200" w:after="80"/>
      </w:pPr>
      <w:r>
        <w:rPr>
          <w:rFonts w:ascii="Georgia" w:hAnsi="Georgia" w:eastAsia="Georgia"/>
          <w:b w:val="0"/>
          <w:i w:val="0"/>
          <w:color w:val="4A4670"/>
          <w:sz w:val="29"/>
        </w:rPr>
        <w:t>After the day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c>
          <w:tcPr>
            <w:tcW w:type="dxa" w:w="10080"/>
            <w:tcMar>
              <w:top w:w="20" w:type="dxa"/>
              <w:bottom w:w="20" w:type="dxa"/>
              <w:left w:w="4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i w:val="0"/>
                <w:color w:val="2D2A3E"/>
                <w:sz w:val="19"/>
              </w:rPr>
              <w:t>☐  Rest, since the days after can feel heavy too</w:t>
            </w:r>
          </w:p>
        </w:tc>
      </w:tr>
      <w:tr>
        <w:tc>
          <w:tcPr>
            <w:tcW w:type="dxa" w:w="10080"/>
            <w:tcMar>
              <w:top w:w="20" w:type="dxa"/>
              <w:bottom w:w="20" w:type="dxa"/>
              <w:left w:w="4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i w:val="0"/>
                <w:color w:val="2D2A3E"/>
                <w:sz w:val="19"/>
              </w:rPr>
              <w:t>☐  Thank someone who helped</w:t>
            </w:r>
          </w:p>
        </w:tc>
      </w:tr>
      <w:tr>
        <w:tc>
          <w:tcPr>
            <w:tcW w:type="dxa" w:w="10080"/>
            <w:tcMar>
              <w:top w:w="20" w:type="dxa"/>
              <w:bottom w:w="20" w:type="dxa"/>
              <w:left w:w="4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 w:eastAsia="Calibri"/>
                <w:b w:val="0"/>
                <w:i w:val="0"/>
                <w:color w:val="2D2A3E"/>
                <w:sz w:val="19"/>
              </w:rPr>
              <w:t>☐  Note what helped for next time</w:t>
            </w:r>
          </w:p>
        </w:tc>
      </w:tr>
    </w:tbl>
    <w:p>
      <w:pPr>
        <w:spacing w:before="0" w:after="0" w:line="100" w:lineRule="exact"/>
      </w:pPr>
    </w:p>
    <w:p>
      <w:pPr>
        <w:spacing w:before="0" w:after="40"/>
      </w:pPr>
      <w:r>
        <w:rPr>
          <w:rFonts w:ascii="Calibri" w:hAnsi="Calibri" w:eastAsia="Calibri"/>
          <w:b/>
          <w:i w:val="0"/>
          <w:color w:val="4A4670"/>
          <w:sz w:val="17"/>
        </w:rPr>
        <w:t>What I want to remember for next year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E0D6C8"/>
          <w:left w:val="single" w:sz="4" w:color="E0D6C8"/>
          <w:bottom w:val="single" w:sz="4" w:color="E0D6C8"/>
          <w:right w:val="single" w:sz="4" w:color="E0D6C8"/>
          <w:insideH w:val="single" w:sz="4" w:color="E0D6C8"/>
          <w:insideV w:val="single" w:sz="4" w:color="E0D6C8"/>
        </w:tblBorders>
      </w:tblPr>
      <w:tblGrid>
        <w:gridCol w:w="10080"/>
      </w:tblGrid>
      <w:tr>
        <w:trPr>
          <w:trHeight w:val="880" w:hRule="atLeast"/>
        </w:trPr>
        <w:tc>
          <w:tcPr>
            <w:tcW w:type="dxa" w:w="10080"/>
            <w:shd w:val="clear" w:color="auto" w:fill="FBF8F4"/>
          </w:tcPr>
          <w:p/>
        </w:tc>
      </w:tr>
    </w:tbl>
    <w:p>
      <w:pPr>
        <w:spacing w:before="0" w:after="0" w:line="120" w:lineRule="exact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0080"/>
      </w:tblGrid>
      <w:tr>
        <w:tc>
          <w:tcPr>
            <w:tcW w:type="dxa" w:w="10080"/>
            <w:shd w:val="clear" w:color="auto" w:fill="FFF4E5"/>
            <w:tcBorders>
              <w:top w:val="nil"/>
              <w:left w:val="single" w:sz="24" w:color="C49A5A" w:space="0"/>
              <w:bottom w:val="nil"/>
              <w:right w:val="nil"/>
            </w:tcBorders>
            <w:tcMar>
              <w:top w:w="120" w:type="dxa"/>
              <w:bottom w:w="120" w:type="dxa"/>
              <w:left w:w="200" w:type="dxa"/>
              <w:right w:w="160" w:type="dxa"/>
            </w:tcMar>
          </w:tcPr>
          <w:p>
            <w:pPr>
              <w:spacing w:before="0" w:after="60"/>
            </w:pPr>
            <w:r>
              <w:rPr>
                <w:rFonts w:ascii="Calibri" w:hAnsi="Calibri" w:eastAsia="Calibri"/>
                <w:b/>
                <w:i w:val="0"/>
                <w:color w:val="2D2A3E"/>
                <w:sz w:val="20"/>
              </w:rPr>
              <w:t>In immediate danger: call 911.</w:t>
            </w:r>
            <w:r>
              <w:rPr>
                <w:rFonts w:ascii="Calibri" w:hAnsi="Calibri" w:eastAsia="Calibri"/>
                <w:b w:val="0"/>
                <w:i w:val="0"/>
                <w:color w:val="2D2A3E"/>
                <w:sz w:val="20"/>
              </w:rPr>
              <w:t xml:space="preserve"> </w:t>
            </w:r>
            <w:r>
              <w:rPr>
                <w:rFonts w:ascii="Calibri" w:hAnsi="Calibri" w:eastAsia="Calibri"/>
                <w:b/>
                <w:i w:val="0"/>
                <w:color w:val="2D2A3E"/>
                <w:sz w:val="20"/>
              </w:rPr>
              <w:t>988 Suicide &amp; Crisis Lifeline:</w:t>
            </w:r>
            <w:r>
              <w:rPr>
                <w:rFonts w:ascii="Calibri" w:hAnsi="Calibri" w:eastAsia="Calibri"/>
                <w:b w:val="0"/>
                <w:i w:val="0"/>
                <w:color w:val="2D2A3E"/>
                <w:sz w:val="20"/>
              </w:rPr>
              <w:t xml:space="preserve"> call or text </w:t>
            </w:r>
            <w:r>
              <w:rPr>
                <w:rFonts w:ascii="Calibri" w:hAnsi="Calibri" w:eastAsia="Calibri"/>
                <w:b/>
                <w:i w:val="0"/>
                <w:color w:val="2D2A3E"/>
                <w:sz w:val="20"/>
              </w:rPr>
              <w:t>988</w:t>
            </w:r>
            <w:r>
              <w:rPr>
                <w:rFonts w:ascii="Calibri" w:hAnsi="Calibri" w:eastAsia="Calibri"/>
                <w:b w:val="0"/>
                <w:i w:val="0"/>
                <w:color w:val="2D2A3E"/>
                <w:sz w:val="20"/>
              </w:rPr>
              <w:t xml:space="preserve"> (US). Elsewhere, use your local emergency number and crisis line.</w:t>
            </w:r>
          </w:p>
        </w:tc>
      </w:tr>
    </w:tbl>
    <w:p>
      <w:pPr>
        <w:spacing w:before="0" w:after="0" w:line="120" w:lineRule="exact"/>
      </w:pPr>
    </w:p>
    <w:p>
      <w:r>
        <w:rPr>
          <w:b/>
          <w:sz w:val="16"/>
        </w:rPr>
        <w:t xml:space="preserve">Legal: </w:t>
      </w:r>
      <w:hyperlink r:id="rId13">
        <w:r>
          <w:rPr>
            <w:color w:val="3D5A9E"/>
            <w:u w:val="single"/>
            <w:sz w:val="16"/>
          </w:rPr>
          <w:t xml:space="preserve">Educational Use Disclaimer</w:t>
        </w:r>
      </w:hyperlink>
      <w:r>
        <w:rPr>
          <w:sz w:val="16"/>
        </w:rPr>
        <w:t xml:space="preserve">  |  </w:t>
      </w:r>
      <w:hyperlink r:id="rId14">
        <w:r>
          <w:rPr>
            <w:color w:val="3D5A9E"/>
            <w:u w:val="single"/>
            <w:sz w:val="16"/>
          </w:rPr>
          <w:t xml:space="preserve">Terms of Use</w:t>
        </w:r>
      </w:hyperlink>
      <w:r>
        <w:rPr>
          <w:sz w:val="16"/>
        </w:rPr>
        <w:t xml:space="preserve">  |  </w:t>
      </w:r>
      <w:hyperlink r:id="rId15">
        <w:r>
          <w:rPr>
            <w:color w:val="3D5A9E"/>
            <w:u w:val="single"/>
            <w:sz w:val="16"/>
          </w:rPr>
          <w:t xml:space="preserve">Privacy Policy</w:t>
        </w:r>
      </w:hyperlink>
      <w:r>
        <w:rPr>
          <w:sz w:val="16"/>
        </w:rPr>
        <w:t xml:space="preserve">  |  </w:t>
      </w:r>
      <w:hyperlink r:id="rId16">
        <w:r>
          <w:rPr>
            <w:color w:val="3D5A9E"/>
            <w:u w:val="single"/>
            <w:sz w:val="16"/>
          </w:rPr>
          <w:t xml:space="preserve">All GGN Legal and Policies</w:t>
        </w:r>
      </w:hyperlink>
    </w:p>
    <w:sectPr w:rsidR="00FC693F" w:rsidRPr="0006063C" w:rsidSect="00034616">
      <w:headerReference w:type="default" r:id="rId9"/>
      <w:footerReference w:type="default" r:id="rId10"/>
      <w:pgSz w:w="12240" w:h="15840"/>
      <w:pgMar w:top="1152" w:right="1080" w:bottom="1080" w:left="1080" w:header="504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Calibri" w:hAnsi="Calibri" w:eastAsia="Calibri"/>
        <w:b w:val="0"/>
        <w:i w:val="0"/>
        <w:color w:val="6B6679"/>
        <w:sz w:val="15"/>
      </w:rPr>
      <w:t xml:space="preserve">Global Grief Network. For educational and support purposes; not a substitute for licensed mental health care.   Page </w:t>
    </w:r>
    <w:r>
      <w:rPr>
        <w:color w:val="6B6679"/>
        <w:sz w:val="15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drawing>
        <wp:inline xmlns:a="http://schemas.openxmlformats.org/drawingml/2006/main" xmlns:pic="http://schemas.openxmlformats.org/drawingml/2006/picture">
          <wp:extent cx="329184" cy="329184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ggn-logo-clean_600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9184" cy="329184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libri" w:hAnsi="Calibri" w:eastAsia="Calibri"/>
        <w:b w:val="0"/>
        <w:i w:val="0"/>
        <w:color w:val="6B6679"/>
        <w:sz w:val="15"/>
      </w:rPr>
      <w:t xml:space="preserve">   GGN LEARNER TOOLS  |  HOLIDAYS AND ANNIVERSARIES   |   LEARNER TOOL 07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2D2A3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jpg"/><Relationship Id="rId12" Type="http://schemas.openxmlformats.org/officeDocument/2006/relationships/image" Target="media/image2.jpg"/><Relationship Id="rId13" Type="http://schemas.openxmlformats.org/officeDocument/2006/relationships/hyperlink" Target="https://drive.google.com/file/d/19aSbvSHn3G9npmbAf0YC0IvDewOJhDCM/view?usp=drivesdk" TargetMode="External"/><Relationship Id="rId14" Type="http://schemas.openxmlformats.org/officeDocument/2006/relationships/hyperlink" Target="https://drive.google.com/file/d/1_igt66_ukeCLEwxNtDo0CbL8bfjAHPGh/view?usp=drivesdk" TargetMode="External"/><Relationship Id="rId15" Type="http://schemas.openxmlformats.org/officeDocument/2006/relationships/hyperlink" Target="https://drive.google.com/file/d/1J3XM2aijNu3L_QtT6p5J4_nm7y0ZTxn9/view?usp=drivesdk" TargetMode="External"/><Relationship Id="rId16" Type="http://schemas.openxmlformats.org/officeDocument/2006/relationships/hyperlink" Target="https://drive.google.com/drive/folders/1Zm-s81sPQxTJR3osf6RUxNMeax2foD_c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GGN Checklist: Preparing for Holidays and Anniversaries</dc:title>
  <dc:subject>Ggn Learner Tools</dc:subject>
  <dc:creator>Global Grief Network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