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655"/>
        <w:gridCol w:w="8424"/>
      </w:tblGrid>
      <w:tr>
        <w:tc>
          <w:tcPr>
            <w:tcW w:type="dxa" w:w="1656"/>
            <w:shd w:val="clear" w:color="auto" w:fill="FAF6F1"/>
            <w:vAlign w:val="center"/>
            <w:tcMar>
              <w:top w:w="120" w:type="dxa"/>
              <w:bottom w:w="120" w:type="dxa"/>
              <w:left w:w="140" w:type="dxa"/>
              <w:right w:w="60" w:type="dxa"/>
            </w:tcMar>
          </w:tcPr>
          <w:p>
            <w:r>
              <w:drawing>
                <wp:inline xmlns:a="http://schemas.openxmlformats.org/drawingml/2006/main" xmlns:pic="http://schemas.openxmlformats.org/drawingml/2006/picture">
                  <wp:extent cx="868680" cy="868680"/>
                  <wp:docPr id="1" name="Picture 1"/>
                  <wp:cNvGraphicFramePr>
                    <a:graphicFrameLocks noChangeAspect="1"/>
                  </wp:cNvGraphicFramePr>
                  <a:graphic>
                    <a:graphicData uri="http://schemas.openxmlformats.org/drawingml/2006/picture">
                      <pic:pic>
                        <pic:nvPicPr>
                          <pic:cNvPr id="0" name="ggn-logo-clean_600.jpg"/>
                          <pic:cNvPicPr/>
                        </pic:nvPicPr>
                        <pic:blipFill>
                          <a:blip r:embed="rId11"/>
                          <a:stretch>
                            <a:fillRect/>
                          </a:stretch>
                        </pic:blipFill>
                        <pic:spPr>
                          <a:xfrm>
                            <a:off x="0" y="0"/>
                            <a:ext cx="868680" cy="868680"/>
                          </a:xfrm>
                          <a:prstGeom prst="rect"/>
                        </pic:spPr>
                      </pic:pic>
                    </a:graphicData>
                  </a:graphic>
                </wp:inline>
              </w:drawing>
            </w:r>
          </w:p>
        </w:tc>
        <w:tc>
          <w:tcPr>
            <w:tcW w:type="dxa" w:w="8424"/>
            <w:shd w:val="clear" w:color="auto" w:fill="3D3A5C"/>
            <w:vAlign w:val="center"/>
            <w:tcMar>
              <w:top w:w="140" w:type="dxa"/>
              <w:bottom w:w="160" w:type="dxa"/>
              <w:left w:w="120" w:type="dxa"/>
              <w:right w:w="160" w:type="dxa"/>
            </w:tcMar>
          </w:tcPr>
          <w:p>
            <w:pPr>
              <w:spacing w:before="0" w:after="60"/>
            </w:pPr>
            <w:r>
              <w:rPr>
                <w:rFonts w:ascii="Calibri" w:hAnsi="Calibri" w:eastAsia="Calibri"/>
                <w:b/>
                <w:i w:val="0"/>
                <w:color w:val="C49A5A"/>
                <w:sz w:val="15"/>
                <w:spacing w:val="30"/>
              </w:rPr>
              <w:t>GLOBAL GRIEF NETWORK  |  LEARNER TOOLS</w:t>
            </w:r>
          </w:p>
          <w:p>
            <w:pPr>
              <w:spacing w:before="0" w:after="60"/>
            </w:pPr>
            <w:r>
              <w:rPr>
                <w:rFonts w:ascii="Georgia" w:hAnsi="Georgia" w:eastAsia="Georgia"/>
                <w:b w:val="0"/>
                <w:i w:val="0"/>
                <w:color w:val="FFFFFF"/>
                <w:sz w:val="42"/>
              </w:rPr>
              <w:t>Checklist: The First Weeks After a Death</w:t>
            </w:r>
          </w:p>
          <w:p>
            <w:pPr>
              <w:spacing w:before="0" w:after="0"/>
            </w:pPr>
            <w:r>
              <w:rPr>
                <w:rFonts w:ascii="Calibri" w:hAnsi="Calibri" w:eastAsia="Calibri"/>
                <w:b w:val="0"/>
                <w:i w:val="0"/>
                <w:color w:val="E6DFF0"/>
                <w:sz w:val="18"/>
              </w:rPr>
              <w:t>Checklist  |  Practical steps and caring for yourself</w:t>
            </w:r>
          </w:p>
        </w:tc>
      </w:tr>
    </w:tbl>
    <w:p>
      <w:pPr>
        <w:spacing w:before="0" w:after="0" w:line="120" w:lineRule="exact"/>
      </w:pPr>
    </w:p>
    <w:p>
      <w:r>
        <w:drawing>
          <wp:inline xmlns:a="http://schemas.openxmlformats.org/drawingml/2006/main" xmlns:pic="http://schemas.openxmlformats.org/drawingml/2006/picture">
            <wp:extent cx="6400800" cy="1136984"/>
            <wp:docPr id="2" name="Picture 2"/>
            <wp:cNvGraphicFramePr>
              <a:graphicFrameLocks noChangeAspect="1"/>
            </wp:cNvGraphicFramePr>
            <a:graphic>
              <a:graphicData uri="http://schemas.openxmlformats.org/drawingml/2006/picture">
                <pic:pic>
                  <pic:nvPicPr>
                    <pic:cNvPr id="0" name="img_banner_lt_checklists.jpg"/>
                    <pic:cNvPicPr/>
                  </pic:nvPicPr>
                  <pic:blipFill>
                    <a:blip r:embed="rId12"/>
                    <a:stretch>
                      <a:fillRect/>
                    </a:stretch>
                  </pic:blipFill>
                  <pic:spPr>
                    <a:xfrm>
                      <a:off x="0" y="0"/>
                      <a:ext cx="6400800" cy="1136984"/>
                    </a:xfrm>
                    <a:prstGeom prst="rect"/>
                  </pic:spPr>
                </pic:pic>
              </a:graphicData>
            </a:graphic>
          </wp:inline>
        </w:drawing>
      </w:r>
    </w:p>
    <w:p>
      <w:pPr>
        <w:spacing w:before="0" w:after="0" w:line="80" w:lineRule="exact"/>
      </w:pPr>
    </w:p>
    <w:p>
      <w:pPr>
        <w:spacing w:before="0" w:after="120"/>
      </w:pPr>
      <w:r>
        <w:rPr>
          <w:rFonts w:ascii="Calibri" w:hAnsi="Calibri" w:eastAsia="Calibri"/>
          <w:b/>
          <w:i w:val="0"/>
          <w:color w:val="6B6679"/>
          <w:sz w:val="18"/>
        </w:rPr>
        <w:t>About this page:</w:t>
      </w:r>
      <w:r>
        <w:rPr>
          <w:rFonts w:ascii="Calibri" w:hAnsi="Calibri" w:eastAsia="Calibri"/>
          <w:b w:val="0"/>
          <w:i w:val="0"/>
          <w:color w:val="6B6679"/>
          <w:sz w:val="18"/>
        </w:rPr>
        <w:t xml:space="preserve"> The first weeks after a death can bring many tasks at a time when it is hard to think. This list can help you see what needs doing, what can wait, and who might help. Not every item will apply. Rules and steps vary by place, so check with local offices or a funeral provider.</w:t>
      </w:r>
    </w:p>
    <w:p>
      <w:pPr>
        <w:spacing w:before="200" w:after="80"/>
      </w:pPr>
      <w:r>
        <w:rPr>
          <w:rFonts w:ascii="Georgia" w:hAnsi="Georgia" w:eastAsia="Georgia"/>
          <w:b w:val="0"/>
          <w:i w:val="0"/>
          <w:color w:val="4A4670"/>
          <w:sz w:val="29"/>
        </w:rPr>
        <w:t>In the first days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Tell close family and friends, or ask someone to help</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Contact a funeral home or other provider</w:t>
            </w:r>
          </w:p>
        </w:tc>
      </w:tr>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Ask for a written, itemized price list before choosing services</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Look for any written wishes (funeral, burial, cremation)</w:t>
            </w:r>
          </w:p>
        </w:tc>
      </w:tr>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Arrange care for children, pets, or dependents</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Secure the home and vehicle if needed</w:t>
            </w:r>
          </w:p>
        </w:tc>
      </w:tr>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Ask a friend to keep a list of who has helped</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Eat, drink water, and rest when you can</w:t>
            </w:r>
          </w:p>
        </w:tc>
      </w:tr>
    </w:tbl>
    <w:p>
      <w:pPr>
        <w:spacing w:before="0" w:after="0" w:line="100" w:lineRule="exact"/>
      </w:pPr>
    </w:p>
    <w:p>
      <w:pPr>
        <w:spacing w:before="200" w:after="80"/>
      </w:pPr>
      <w:r>
        <w:rPr>
          <w:rFonts w:ascii="Georgia" w:hAnsi="Georgia" w:eastAsia="Georgia"/>
          <w:b w:val="0"/>
          <w:i w:val="0"/>
          <w:color w:val="4A4670"/>
          <w:sz w:val="29"/>
        </w:rPr>
        <w:t>In the first weeks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Order several certified copies of the death certificate</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Tell the employer of the person who died</w:t>
            </w:r>
          </w:p>
        </w:tc>
      </w:tr>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Notify banks and insurance companies</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Notify government agencies that apply (for example, Social Security in the US)</w:t>
            </w:r>
          </w:p>
        </w:tc>
      </w:tr>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Look for a will and contact the named executor</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Cancel or redirect regular bills, subscriptions, and mail</w:t>
            </w:r>
          </w:p>
        </w:tc>
      </w:tr>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Keep important papers together in one folder</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Return borrowed items and collect belongings</w:t>
            </w:r>
          </w:p>
        </w:tc>
      </w:tr>
    </w:tbl>
    <w:p>
      <w:pPr>
        <w:spacing w:before="0" w:after="0" w:line="100" w:lineRule="exact"/>
      </w:pPr>
    </w:p>
    <w:p>
      <w:pPr>
        <w:spacing w:before="200" w:after="80"/>
      </w:pPr>
      <w:r>
        <w:rPr>
          <w:rFonts w:ascii="Georgia" w:hAnsi="Georgia" w:eastAsia="Georgia"/>
          <w:b w:val="0"/>
          <w:i w:val="0"/>
          <w:color w:val="4A4670"/>
          <w:sz w:val="29"/>
        </w:rPr>
        <w:t>Caring for yourself</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Let one or two people help with meals or errands</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Keep one small daily routine</w:t>
            </w:r>
          </w:p>
        </w:tc>
      </w:tr>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Tell my employer or school what I need</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Put off big decisions (such as moving) if I can</w:t>
            </w:r>
          </w:p>
        </w:tc>
      </w:tr>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Write down questions to ask later</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Save crisis numbers in my phone</w:t>
            </w:r>
          </w:p>
        </w:tc>
      </w:tr>
    </w:tbl>
    <w:p>
      <w:pPr>
        <w:spacing w:before="0" w:after="0" w:line="100" w:lineRule="exact"/>
      </w:pPr>
    </w:p>
    <w:p>
      <w:pPr>
        <w:spacing w:before="0" w:after="0"/>
      </w:pPr>
      <w:r>
        <w:br w:type="page"/>
      </w:r>
    </w:p>
    <w:p>
      <w:pPr>
        <w:spacing w:before="200" w:after="80"/>
      </w:pPr>
      <w:r>
        <w:rPr>
          <w:rFonts w:ascii="Georgia" w:hAnsi="Georgia" w:eastAsia="Georgia"/>
          <w:b w:val="0"/>
          <w:i w:val="0"/>
          <w:color w:val="4A4670"/>
          <w:sz w:val="29"/>
        </w:rPr>
        <w:t>Who is helping with what</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4233"/>
        <w:gridCol w:w="2822"/>
        <w:gridCol w:w="1814"/>
        <w:gridCol w:w="1209"/>
      </w:tblGrid>
      <w:tr>
        <w:trPr>
          <w:tblHeader w:val="true"/>
        </w:trPr>
        <w:tc>
          <w:tcPr>
            <w:tcW w:type="dxa" w:w="4234"/>
            <w:shd w:val="clear" w:color="auto" w:fill="4A4670"/>
          </w:tcPr>
          <w:p>
            <w:pPr>
              <w:spacing w:before="0" w:after="0"/>
            </w:pPr>
            <w:r>
              <w:rPr>
                <w:rFonts w:ascii="Calibri" w:hAnsi="Calibri" w:eastAsia="Calibri"/>
                <w:b/>
                <w:i w:val="0"/>
                <w:color w:val="FFFFFF"/>
                <w:sz w:val="17"/>
              </w:rPr>
              <w:t>Task</w:t>
            </w:r>
          </w:p>
        </w:tc>
        <w:tc>
          <w:tcPr>
            <w:tcW w:type="dxa" w:w="2822"/>
            <w:shd w:val="clear" w:color="auto" w:fill="4A4670"/>
          </w:tcPr>
          <w:p>
            <w:pPr>
              <w:spacing w:before="0" w:after="0"/>
            </w:pPr>
            <w:r>
              <w:rPr>
                <w:rFonts w:ascii="Calibri" w:hAnsi="Calibri" w:eastAsia="Calibri"/>
                <w:b/>
                <w:i w:val="0"/>
                <w:color w:val="FFFFFF"/>
                <w:sz w:val="17"/>
              </w:rPr>
              <w:t>Who will help</w:t>
            </w:r>
          </w:p>
        </w:tc>
        <w:tc>
          <w:tcPr>
            <w:tcW w:type="dxa" w:w="1814"/>
            <w:shd w:val="clear" w:color="auto" w:fill="4A4670"/>
          </w:tcPr>
          <w:p>
            <w:pPr>
              <w:spacing w:before="0" w:after="0"/>
            </w:pPr>
            <w:r>
              <w:rPr>
                <w:rFonts w:ascii="Calibri" w:hAnsi="Calibri" w:eastAsia="Calibri"/>
                <w:b/>
                <w:i w:val="0"/>
                <w:color w:val="FFFFFF"/>
                <w:sz w:val="17"/>
              </w:rPr>
              <w:t>By when</w:t>
            </w:r>
          </w:p>
        </w:tc>
        <w:tc>
          <w:tcPr>
            <w:tcW w:type="dxa" w:w="1210"/>
            <w:shd w:val="clear" w:color="auto" w:fill="4A4670"/>
          </w:tcPr>
          <w:p>
            <w:pPr>
              <w:spacing w:before="0" w:after="0"/>
            </w:pPr>
            <w:r>
              <w:rPr>
                <w:rFonts w:ascii="Calibri" w:hAnsi="Calibri" w:eastAsia="Calibri"/>
                <w:b/>
                <w:i w:val="0"/>
                <w:color w:val="FFFFFF"/>
                <w:sz w:val="17"/>
              </w:rPr>
              <w:t>Done</w:t>
            </w:r>
          </w:p>
        </w:tc>
      </w:tr>
      <w:tr>
        <w:trPr>
          <w:trHeight w:val="520" w:hRule="atLeast"/>
        </w:trPr>
        <w:tc>
          <w:tcPr>
            <w:tcW w:type="dxa" w:w="4234"/>
          </w:tcPr>
          <w:p/>
        </w:tc>
        <w:tc>
          <w:tcPr>
            <w:tcW w:type="dxa" w:w="2822"/>
          </w:tcPr>
          <w:p/>
        </w:tc>
        <w:tc>
          <w:tcPr>
            <w:tcW w:type="dxa" w:w="1814"/>
          </w:tcPr>
          <w:p/>
        </w:tc>
        <w:tc>
          <w:tcPr>
            <w:tcW w:type="dxa" w:w="1210"/>
          </w:tcPr>
          <w:p>
            <w:pPr>
              <w:spacing w:before="0" w:after="0"/>
            </w:pPr>
            <w:r>
              <w:rPr>
                <w:rFonts w:ascii="Calibri" w:hAnsi="Calibri" w:eastAsia="Calibri"/>
                <w:b w:val="0"/>
                <w:i w:val="0"/>
                <w:color w:val="2D2A3E"/>
                <w:sz w:val="18"/>
              </w:rPr>
              <w:t xml:space="preserve">☐ </w:t>
            </w:r>
          </w:p>
        </w:tc>
      </w:tr>
      <w:tr>
        <w:trPr>
          <w:trHeight w:val="520" w:hRule="atLeast"/>
        </w:trPr>
        <w:tc>
          <w:tcPr>
            <w:tcW w:type="dxa" w:w="4234"/>
          </w:tcPr>
          <w:p/>
        </w:tc>
        <w:tc>
          <w:tcPr>
            <w:tcW w:type="dxa" w:w="2822"/>
          </w:tcPr>
          <w:p/>
        </w:tc>
        <w:tc>
          <w:tcPr>
            <w:tcW w:type="dxa" w:w="1814"/>
          </w:tcPr>
          <w:p/>
        </w:tc>
        <w:tc>
          <w:tcPr>
            <w:tcW w:type="dxa" w:w="1210"/>
          </w:tcPr>
          <w:p>
            <w:pPr>
              <w:spacing w:before="0" w:after="0"/>
            </w:pPr>
            <w:r>
              <w:rPr>
                <w:rFonts w:ascii="Calibri" w:hAnsi="Calibri" w:eastAsia="Calibri"/>
                <w:b w:val="0"/>
                <w:i w:val="0"/>
                <w:color w:val="2D2A3E"/>
                <w:sz w:val="18"/>
              </w:rPr>
              <w:t xml:space="preserve">☐ </w:t>
            </w:r>
          </w:p>
        </w:tc>
      </w:tr>
      <w:tr>
        <w:trPr>
          <w:trHeight w:val="520" w:hRule="atLeast"/>
        </w:trPr>
        <w:tc>
          <w:tcPr>
            <w:tcW w:type="dxa" w:w="4234"/>
          </w:tcPr>
          <w:p/>
        </w:tc>
        <w:tc>
          <w:tcPr>
            <w:tcW w:type="dxa" w:w="2822"/>
          </w:tcPr>
          <w:p/>
        </w:tc>
        <w:tc>
          <w:tcPr>
            <w:tcW w:type="dxa" w:w="1814"/>
          </w:tcPr>
          <w:p/>
        </w:tc>
        <w:tc>
          <w:tcPr>
            <w:tcW w:type="dxa" w:w="1210"/>
          </w:tcPr>
          <w:p>
            <w:pPr>
              <w:spacing w:before="0" w:after="0"/>
            </w:pPr>
            <w:r>
              <w:rPr>
                <w:rFonts w:ascii="Calibri" w:hAnsi="Calibri" w:eastAsia="Calibri"/>
                <w:b w:val="0"/>
                <w:i w:val="0"/>
                <w:color w:val="2D2A3E"/>
                <w:sz w:val="18"/>
              </w:rPr>
              <w:t xml:space="preserve">☐ </w:t>
            </w:r>
          </w:p>
        </w:tc>
      </w:tr>
      <w:tr>
        <w:trPr>
          <w:trHeight w:val="520" w:hRule="atLeast"/>
        </w:trPr>
        <w:tc>
          <w:tcPr>
            <w:tcW w:type="dxa" w:w="4234"/>
          </w:tcPr>
          <w:p/>
        </w:tc>
        <w:tc>
          <w:tcPr>
            <w:tcW w:type="dxa" w:w="2822"/>
          </w:tcPr>
          <w:p/>
        </w:tc>
        <w:tc>
          <w:tcPr>
            <w:tcW w:type="dxa" w:w="1814"/>
          </w:tcPr>
          <w:p/>
        </w:tc>
        <w:tc>
          <w:tcPr>
            <w:tcW w:type="dxa" w:w="1210"/>
          </w:tcPr>
          <w:p>
            <w:pPr>
              <w:spacing w:before="0" w:after="0"/>
            </w:pPr>
            <w:r>
              <w:rPr>
                <w:rFonts w:ascii="Calibri" w:hAnsi="Calibri" w:eastAsia="Calibri"/>
                <w:b w:val="0"/>
                <w:i w:val="0"/>
                <w:color w:val="2D2A3E"/>
                <w:sz w:val="18"/>
              </w:rPr>
              <w:t xml:space="preserve">☐ </w:t>
            </w:r>
          </w:p>
        </w:tc>
      </w:tr>
      <w:tr>
        <w:trPr>
          <w:trHeight w:val="520" w:hRule="atLeast"/>
        </w:trPr>
        <w:tc>
          <w:tcPr>
            <w:tcW w:type="dxa" w:w="4234"/>
          </w:tcPr>
          <w:p/>
        </w:tc>
        <w:tc>
          <w:tcPr>
            <w:tcW w:type="dxa" w:w="2822"/>
          </w:tcPr>
          <w:p/>
        </w:tc>
        <w:tc>
          <w:tcPr>
            <w:tcW w:type="dxa" w:w="1814"/>
          </w:tcPr>
          <w:p/>
        </w:tc>
        <w:tc>
          <w:tcPr>
            <w:tcW w:type="dxa" w:w="1210"/>
          </w:tcPr>
          <w:p>
            <w:pPr>
              <w:spacing w:before="0" w:after="0"/>
            </w:pPr>
            <w:r>
              <w:rPr>
                <w:rFonts w:ascii="Calibri" w:hAnsi="Calibri" w:eastAsia="Calibri"/>
                <w:b w:val="0"/>
                <w:i w:val="0"/>
                <w:color w:val="2D2A3E"/>
                <w:sz w:val="18"/>
              </w:rPr>
              <w:t xml:space="preserve">☐ </w:t>
            </w:r>
          </w:p>
        </w:tc>
      </w:tr>
      <w:tr>
        <w:trPr>
          <w:trHeight w:val="520" w:hRule="atLeast"/>
        </w:trPr>
        <w:tc>
          <w:tcPr>
            <w:tcW w:type="dxa" w:w="4234"/>
          </w:tcPr>
          <w:p/>
        </w:tc>
        <w:tc>
          <w:tcPr>
            <w:tcW w:type="dxa" w:w="2822"/>
          </w:tcPr>
          <w:p/>
        </w:tc>
        <w:tc>
          <w:tcPr>
            <w:tcW w:type="dxa" w:w="1814"/>
          </w:tcPr>
          <w:p/>
        </w:tc>
        <w:tc>
          <w:tcPr>
            <w:tcW w:type="dxa" w:w="1210"/>
          </w:tcPr>
          <w:p>
            <w:pPr>
              <w:spacing w:before="0" w:after="0"/>
            </w:pPr>
            <w:r>
              <w:rPr>
                <w:rFonts w:ascii="Calibri" w:hAnsi="Calibri" w:eastAsia="Calibri"/>
                <w:b w:val="0"/>
                <w:i w:val="0"/>
                <w:color w:val="2D2A3E"/>
                <w:sz w:val="18"/>
              </w:rPr>
              <w:t xml:space="preserve">☐ </w:t>
            </w:r>
          </w:p>
        </w:tc>
      </w:tr>
      <w:tr>
        <w:trPr>
          <w:trHeight w:val="520" w:hRule="atLeast"/>
        </w:trPr>
        <w:tc>
          <w:tcPr>
            <w:tcW w:type="dxa" w:w="4234"/>
          </w:tcPr>
          <w:p/>
        </w:tc>
        <w:tc>
          <w:tcPr>
            <w:tcW w:type="dxa" w:w="2822"/>
          </w:tcPr>
          <w:p/>
        </w:tc>
        <w:tc>
          <w:tcPr>
            <w:tcW w:type="dxa" w:w="1814"/>
          </w:tcPr>
          <w:p/>
        </w:tc>
        <w:tc>
          <w:tcPr>
            <w:tcW w:type="dxa" w:w="1210"/>
          </w:tcPr>
          <w:p>
            <w:pPr>
              <w:spacing w:before="0" w:after="0"/>
            </w:pPr>
            <w:r>
              <w:rPr>
                <w:rFonts w:ascii="Calibri" w:hAnsi="Calibri" w:eastAsia="Calibri"/>
                <w:b w:val="0"/>
                <w:i w:val="0"/>
                <w:color w:val="2D2A3E"/>
                <w:sz w:val="18"/>
              </w:rPr>
              <w:t xml:space="preserve">☐ </w:t>
            </w:r>
          </w:p>
        </w:tc>
      </w:tr>
      <w:tr>
        <w:trPr>
          <w:trHeight w:val="520" w:hRule="atLeast"/>
        </w:trPr>
        <w:tc>
          <w:tcPr>
            <w:tcW w:type="dxa" w:w="4234"/>
          </w:tcPr>
          <w:p/>
        </w:tc>
        <w:tc>
          <w:tcPr>
            <w:tcW w:type="dxa" w:w="2822"/>
          </w:tcPr>
          <w:p/>
        </w:tc>
        <w:tc>
          <w:tcPr>
            <w:tcW w:type="dxa" w:w="1814"/>
          </w:tcPr>
          <w:p/>
        </w:tc>
        <w:tc>
          <w:tcPr>
            <w:tcW w:type="dxa" w:w="1210"/>
          </w:tcPr>
          <w:p>
            <w:pPr>
              <w:spacing w:before="0" w:after="0"/>
            </w:pPr>
            <w:r>
              <w:rPr>
                <w:rFonts w:ascii="Calibri" w:hAnsi="Calibri" w:eastAsia="Calibri"/>
                <w:b w:val="0"/>
                <w:i w:val="0"/>
                <w:color w:val="2D2A3E"/>
                <w:sz w:val="18"/>
              </w:rPr>
              <w:t xml:space="preserve">☐ </w:t>
            </w:r>
          </w:p>
        </w:tc>
      </w:tr>
      <w:tr>
        <w:trPr>
          <w:trHeight w:val="520" w:hRule="atLeast"/>
        </w:trPr>
        <w:tc>
          <w:tcPr>
            <w:tcW w:type="dxa" w:w="4234"/>
          </w:tcPr>
          <w:p/>
        </w:tc>
        <w:tc>
          <w:tcPr>
            <w:tcW w:type="dxa" w:w="2822"/>
          </w:tcPr>
          <w:p/>
        </w:tc>
        <w:tc>
          <w:tcPr>
            <w:tcW w:type="dxa" w:w="1814"/>
          </w:tcPr>
          <w:p/>
        </w:tc>
        <w:tc>
          <w:tcPr>
            <w:tcW w:type="dxa" w:w="1210"/>
          </w:tcPr>
          <w:p>
            <w:pPr>
              <w:spacing w:before="0" w:after="0"/>
            </w:pPr>
            <w:r>
              <w:rPr>
                <w:rFonts w:ascii="Calibri" w:hAnsi="Calibri" w:eastAsia="Calibri"/>
                <w:b w:val="0"/>
                <w:i w:val="0"/>
                <w:color w:val="2D2A3E"/>
                <w:sz w:val="18"/>
              </w:rPr>
              <w:t xml:space="preserve">☐ </w:t>
            </w:r>
          </w:p>
        </w:tc>
      </w:tr>
      <w:tr>
        <w:trPr>
          <w:trHeight w:val="520" w:hRule="atLeast"/>
        </w:trPr>
        <w:tc>
          <w:tcPr>
            <w:tcW w:type="dxa" w:w="4234"/>
          </w:tcPr>
          <w:p/>
        </w:tc>
        <w:tc>
          <w:tcPr>
            <w:tcW w:type="dxa" w:w="2822"/>
          </w:tcPr>
          <w:p/>
        </w:tc>
        <w:tc>
          <w:tcPr>
            <w:tcW w:type="dxa" w:w="1814"/>
          </w:tcPr>
          <w:p/>
        </w:tc>
        <w:tc>
          <w:tcPr>
            <w:tcW w:type="dxa" w:w="1210"/>
          </w:tcPr>
          <w:p>
            <w:pPr>
              <w:spacing w:before="0" w:after="0"/>
            </w:pPr>
            <w:r>
              <w:rPr>
                <w:rFonts w:ascii="Calibri" w:hAnsi="Calibri" w:eastAsia="Calibri"/>
                <w:b w:val="0"/>
                <w:i w:val="0"/>
                <w:color w:val="2D2A3E"/>
                <w:sz w:val="18"/>
              </w:rPr>
              <w:t xml:space="preserve">☐ </w:t>
            </w:r>
          </w:p>
        </w:tc>
      </w:tr>
      <w:tr>
        <w:trPr>
          <w:trHeight w:val="520" w:hRule="atLeast"/>
        </w:trPr>
        <w:tc>
          <w:tcPr>
            <w:tcW w:type="dxa" w:w="4234"/>
          </w:tcPr>
          <w:p/>
        </w:tc>
        <w:tc>
          <w:tcPr>
            <w:tcW w:type="dxa" w:w="2822"/>
          </w:tcPr>
          <w:p/>
        </w:tc>
        <w:tc>
          <w:tcPr>
            <w:tcW w:type="dxa" w:w="1814"/>
          </w:tcPr>
          <w:p/>
        </w:tc>
        <w:tc>
          <w:tcPr>
            <w:tcW w:type="dxa" w:w="1210"/>
          </w:tcPr>
          <w:p>
            <w:pPr>
              <w:spacing w:before="0" w:after="0"/>
            </w:pPr>
            <w:r>
              <w:rPr>
                <w:rFonts w:ascii="Calibri" w:hAnsi="Calibri" w:eastAsia="Calibri"/>
                <w:b w:val="0"/>
                <w:i w:val="0"/>
                <w:color w:val="2D2A3E"/>
                <w:sz w:val="18"/>
              </w:rPr>
              <w:t xml:space="preserve">☐ </w:t>
            </w:r>
          </w:p>
        </w:tc>
      </w:tr>
      <w:tr>
        <w:trPr>
          <w:trHeight w:val="520" w:hRule="atLeast"/>
        </w:trPr>
        <w:tc>
          <w:tcPr>
            <w:tcW w:type="dxa" w:w="4234"/>
          </w:tcPr>
          <w:p/>
        </w:tc>
        <w:tc>
          <w:tcPr>
            <w:tcW w:type="dxa" w:w="2822"/>
          </w:tcPr>
          <w:p/>
        </w:tc>
        <w:tc>
          <w:tcPr>
            <w:tcW w:type="dxa" w:w="1814"/>
          </w:tcPr>
          <w:p/>
        </w:tc>
        <w:tc>
          <w:tcPr>
            <w:tcW w:type="dxa" w:w="1210"/>
          </w:tcPr>
          <w:p>
            <w:pPr>
              <w:spacing w:before="0" w:after="0"/>
            </w:pPr>
            <w:r>
              <w:rPr>
                <w:rFonts w:ascii="Calibri" w:hAnsi="Calibri" w:eastAsia="Calibri"/>
                <w:b w:val="0"/>
                <w:i w:val="0"/>
                <w:color w:val="2D2A3E"/>
                <w:sz w:val="18"/>
              </w:rPr>
              <w:t xml:space="preserve">☐ </w:t>
            </w:r>
          </w:p>
        </w:tc>
      </w:tr>
    </w:tbl>
    <w:p>
      <w:pPr>
        <w:spacing w:before="0" w:after="0" w:line="160" w:lineRule="exact"/>
      </w:pPr>
    </w:p>
    <w:p>
      <w:pPr>
        <w:spacing w:before="0" w:after="40"/>
      </w:pPr>
      <w:r>
        <w:rPr>
          <w:rFonts w:ascii="Calibri" w:hAnsi="Calibri" w:eastAsia="Calibri"/>
          <w:b/>
          <w:i w:val="0"/>
          <w:color w:val="4A4670"/>
          <w:sz w:val="17"/>
        </w:rPr>
        <w:t>Questions to ask later (funeral provider, bank, employer, others)</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1600" w:hRule="atLeast"/>
        </w:trPr>
        <w:tc>
          <w:tcPr>
            <w:tcW w:type="dxa" w:w="10080"/>
            <w:shd w:val="clear" w:color="auto" w:fill="FBF8F4"/>
          </w:tcPr>
          <w:p/>
        </w:tc>
      </w:tr>
    </w:tbl>
    <w:p>
      <w:pPr>
        <w:spacing w:before="0" w:after="0" w:line="120" w:lineRule="exact"/>
      </w:pPr>
    </w:p>
    <w:p>
      <w:pPr>
        <w:spacing w:before="0" w:after="100"/>
      </w:pPr>
      <w:r>
        <w:rPr>
          <w:rFonts w:ascii="Calibri" w:hAnsi="Calibri" w:eastAsia="Calibri"/>
          <w:b w:val="0"/>
          <w:i w:val="0"/>
          <w:color w:val="6B6679"/>
          <w:sz w:val="17"/>
        </w:rPr>
        <w:t>For help finding local services in the US, you can dial 211. The GGN Resource Library lists more organizations.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0080"/>
      </w:tblGrid>
      <w:tr>
        <w:tc>
          <w:tcPr>
            <w:tcW w:type="dxa" w:w="10080"/>
            <w:shd w:val="clear" w:color="auto" w:fill="FFF4E5"/>
            <w:tcBorders>
              <w:top w:val="nil"/>
              <w:left w:val="single" w:sz="24" w:color="C49A5A" w:space="0"/>
              <w:bottom w:val="nil"/>
              <w:right w:val="nil"/>
            </w:tcBorders>
            <w:tcMar>
              <w:top w:w="120" w:type="dxa"/>
              <w:bottom w:w="120" w:type="dxa"/>
              <w:left w:w="200" w:type="dxa"/>
              <w:right w:w="160" w:type="dxa"/>
            </w:tcMar>
          </w:tcPr>
          <w:p>
            <w:pPr>
              <w:spacing w:before="0" w:after="60"/>
            </w:pPr>
            <w:r>
              <w:rPr>
                <w:rFonts w:ascii="Calibri" w:hAnsi="Calibri" w:eastAsia="Calibri"/>
                <w:b/>
                <w:i w:val="0"/>
                <w:color w:val="2D2A3E"/>
                <w:sz w:val="20"/>
              </w:rPr>
              <w:t>In immediate danger: call 911.</w:t>
            </w:r>
            <w:r>
              <w:rPr>
                <w:rFonts w:ascii="Calibri" w:hAnsi="Calibri" w:eastAsia="Calibri"/>
                <w:b w:val="0"/>
                <w:i w:val="0"/>
                <w:color w:val="2D2A3E"/>
                <w:sz w:val="20"/>
              </w:rPr>
              <w:t xml:space="preserve"> </w:t>
            </w:r>
            <w:r>
              <w:rPr>
                <w:rFonts w:ascii="Calibri" w:hAnsi="Calibri" w:eastAsia="Calibri"/>
                <w:b/>
                <w:i w:val="0"/>
                <w:color w:val="2D2A3E"/>
                <w:sz w:val="20"/>
              </w:rPr>
              <w:t>988 Suicide &amp; Crisis Lifeline:</w:t>
            </w:r>
            <w:r>
              <w:rPr>
                <w:rFonts w:ascii="Calibri" w:hAnsi="Calibri" w:eastAsia="Calibri"/>
                <w:b w:val="0"/>
                <w:i w:val="0"/>
                <w:color w:val="2D2A3E"/>
                <w:sz w:val="20"/>
              </w:rPr>
              <w:t xml:space="preserve"> call or text </w:t>
            </w:r>
            <w:r>
              <w:rPr>
                <w:rFonts w:ascii="Calibri" w:hAnsi="Calibri" w:eastAsia="Calibri"/>
                <w:b/>
                <w:i w:val="0"/>
                <w:color w:val="2D2A3E"/>
                <w:sz w:val="20"/>
              </w:rPr>
              <w:t>988</w:t>
            </w:r>
            <w:r>
              <w:rPr>
                <w:rFonts w:ascii="Calibri" w:hAnsi="Calibri" w:eastAsia="Calibri"/>
                <w:b w:val="0"/>
                <w:i w:val="0"/>
                <w:color w:val="2D2A3E"/>
                <w:sz w:val="20"/>
              </w:rPr>
              <w:t xml:space="preserve"> (US). Elsewhere, use your local emergency number and crisis line.</w:t>
            </w:r>
          </w:p>
        </w:tc>
      </w:tr>
    </w:tbl>
    <w:p>
      <w:pPr>
        <w:spacing w:before="0" w:after="0" w:line="120" w:lineRule="exact"/>
      </w:pPr>
    </w:p>
    <w:p>
      <w:r>
        <w:rPr>
          <w:b/>
          <w:sz w:val="16"/>
        </w:rPr>
        <w:t xml:space="preserve">Legal: </w:t>
      </w:r>
      <w:hyperlink r:id="rId13">
        <w:r>
          <w:rPr>
            <w:color w:val="3D5A9E"/>
            <w:u w:val="single"/>
            <w:sz w:val="16"/>
          </w:rPr>
          <w:t xml:space="preserve">Educational Use Disclaimer</w:t>
        </w:r>
      </w:hyperlink>
      <w:r>
        <w:rPr>
          <w:sz w:val="16"/>
        </w:rPr>
        <w:t xml:space="preserve">  |  </w:t>
      </w:r>
      <w:hyperlink r:id="rId14">
        <w:r>
          <w:rPr>
            <w:color w:val="3D5A9E"/>
            <w:u w:val="single"/>
            <w:sz w:val="16"/>
          </w:rPr>
          <w:t xml:space="preserve">Terms of Use</w:t>
        </w:r>
      </w:hyperlink>
      <w:r>
        <w:rPr>
          <w:sz w:val="16"/>
        </w:rPr>
        <w:t xml:space="preserve">  |  </w:t>
      </w:r>
      <w:hyperlink r:id="rId15">
        <w:r>
          <w:rPr>
            <w:color w:val="3D5A9E"/>
            <w:u w:val="single"/>
            <w:sz w:val="16"/>
          </w:rPr>
          <w:t xml:space="preserve">Privacy Policy</w:t>
        </w:r>
      </w:hyperlink>
      <w:r>
        <w:rPr>
          <w:sz w:val="16"/>
        </w:rPr>
        <w:t xml:space="preserve">  |  </w:t>
      </w:r>
      <w:hyperlink r:id="rId16">
        <w:r>
          <w:rPr>
            <w:color w:val="3D5A9E"/>
            <w:u w:val="single"/>
            <w:sz w:val="16"/>
          </w:rPr>
          <w:t xml:space="preserve">All GGN Legal and Policies</w:t>
        </w:r>
      </w:hyperlink>
    </w:p>
    <w:sectPr w:rsidR="00FC693F" w:rsidRPr="0006063C" w:rsidSect="00034616">
      <w:headerReference w:type="default" r:id="rId9"/>
      <w:footerReference w:type="default" r:id="rId10"/>
      <w:pgSz w:w="12240" w:h="15840"/>
      <w:pgMar w:top="1152" w:right="1080" w:bottom="1080" w:left="108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alibri" w:hAnsi="Calibri" w:eastAsia="Calibri"/>
        <w:b w:val="0"/>
        <w:i w:val="0"/>
        <w:color w:val="6B6679"/>
        <w:sz w:val="15"/>
      </w:rPr>
      <w:t xml:space="preserve">Global Grief Network. For educational and support purposes; not a substitute for licensed mental health care.   Page </w:t>
    </w:r>
    <w:r>
      <w:rPr>
        <w:color w:val="6B6679"/>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329184" cy="329184"/>
          <wp:docPr id="1" name="Picture 1"/>
          <wp:cNvGraphicFramePr>
            <a:graphicFrameLocks noChangeAspect="1"/>
          </wp:cNvGraphicFramePr>
          <a:graphic>
            <a:graphicData uri="http://schemas.openxmlformats.org/drawingml/2006/picture">
              <pic:pic>
                <pic:nvPicPr>
                  <pic:cNvPr id="0" name="ggn-logo-clean_600.jpg"/>
                  <pic:cNvPicPr/>
                </pic:nvPicPr>
                <pic:blipFill>
                  <a:blip r:embed="rId1"/>
                  <a:stretch>
                    <a:fillRect/>
                  </a:stretch>
                </pic:blipFill>
                <pic:spPr>
                  <a:xfrm>
                    <a:off x="0" y="0"/>
                    <a:ext cx="329184" cy="329184"/>
                  </a:xfrm>
                  <a:prstGeom prst="rect"/>
                </pic:spPr>
              </pic:pic>
            </a:graphicData>
          </a:graphic>
        </wp:inline>
      </w:drawing>
    </w:r>
    <w:r>
      <w:rPr>
        <w:rFonts w:ascii="Calibri" w:hAnsi="Calibri" w:eastAsia="Calibri"/>
        <w:b w:val="0"/>
        <w:i w:val="0"/>
        <w:color w:val="6B6679"/>
        <w:sz w:val="15"/>
      </w:rPr>
      <w:t xml:space="preserve">   GGN LEARNER TOOLS  |  FIRST WEEKS AFTER A DEATH   |   LEARNER TOOL 06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2D2A3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hyperlink" Target="https://drive.google.com/file/d/19aSbvSHn3G9npmbAf0YC0IvDewOJhDCM/view?usp=drivesdk" TargetMode="External"/><Relationship Id="rId14" Type="http://schemas.openxmlformats.org/officeDocument/2006/relationships/hyperlink" Target="https://drive.google.com/file/d/1_igt66_ukeCLEwxNtDo0CbL8bfjAHPGh/view?usp=drivesdk" TargetMode="External"/><Relationship Id="rId15" Type="http://schemas.openxmlformats.org/officeDocument/2006/relationships/hyperlink" Target="https://drive.google.com/file/d/1J3XM2aijNu3L_QtT6p5J4_nm7y0ZTxn9/view?usp=drivesdk" TargetMode="External"/><Relationship Id="rId16" Type="http://schemas.openxmlformats.org/officeDocument/2006/relationships/hyperlink" Target="https://drive.google.com/drive/folders/1Zm-s81sPQxTJR3osf6RUxNMeax2foD_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GGN Checklist: The First Weeks After a Death</dc:title>
  <dc:subject>Ggn Learner Tools</dc:subject>
  <dc:creator>Global Grief Network</dc:creator>
  <cp:keywords/>
  <dc:description>generated by python-docx</dc:description>
  <cp:lastModifiedBy/>
  <cp:revision>1</cp:revision>
  <dcterms:created xsi:type="dcterms:W3CDTF">2013-12-23T23:15:00Z</dcterms:created>
  <dcterms:modified xsi:type="dcterms:W3CDTF">2013-12-23T23:15:00Z</dcterms:modified>
  <cp:category/>
</cp:coreProperties>
</file>