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655"/>
        <w:gridCol w:w="8424"/>
      </w:tblGrid>
      <w:tr>
        <w:tc>
          <w:tcPr>
            <w:tcW w:type="dxa" w:w="1656"/>
            <w:shd w:val="clear" w:color="auto" w:fill="FAF6F1"/>
            <w:vAlign w:val="center"/>
            <w:tcMar>
              <w:top w:w="120" w:type="dxa"/>
              <w:bottom w:w="120" w:type="dxa"/>
              <w:left w:w="140" w:type="dxa"/>
              <w:right w:w="60" w:type="dxa"/>
            </w:tcMar>
          </w:tcPr>
          <w:p>
            <w:r>
              <w:drawing>
                <wp:inline xmlns:a="http://schemas.openxmlformats.org/drawingml/2006/main" xmlns:pic="http://schemas.openxmlformats.org/drawingml/2006/picture">
                  <wp:extent cx="868680" cy="86868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ggn-logo-clean_600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8680" cy="86868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424"/>
            <w:shd w:val="clear" w:color="auto" w:fill="3D3A5C"/>
            <w:vAlign w:val="center"/>
            <w:tcMar>
              <w:top w:w="140" w:type="dxa"/>
              <w:bottom w:w="160" w:type="dxa"/>
              <w:left w:w="120" w:type="dxa"/>
              <w:right w:w="160" w:type="dxa"/>
            </w:tcMar>
          </w:tcPr>
          <w:p>
            <w:pPr>
              <w:spacing w:before="0" w:after="60"/>
            </w:pPr>
            <w:r>
              <w:rPr>
                <w:rFonts w:ascii="Calibri" w:hAnsi="Calibri" w:eastAsia="Calibri"/>
                <w:b/>
                <w:i w:val="0"/>
                <w:color w:val="C49A5A"/>
                <w:sz w:val="15"/>
                <w:spacing w:val="30"/>
              </w:rPr>
              <w:t>GLOBAL GRIEF NETWORK  |  LEARNER TOOLS</w:t>
            </w:r>
          </w:p>
          <w:p>
            <w:pPr>
              <w:spacing w:before="0" w:after="60"/>
            </w:pPr>
            <w:r>
              <w:rPr>
                <w:rFonts w:ascii="Georgia" w:hAnsi="Georgia" w:eastAsia="Georgia"/>
                <w:b w:val="0"/>
                <w:i w:val="0"/>
                <w:color w:val="FFFFFF"/>
                <w:sz w:val="42"/>
              </w:rPr>
              <w:t>Conversation Guide: Talking With Friends</w:t>
            </w:r>
          </w:p>
          <w:p>
            <w:pPr>
              <w:spacing w:before="0" w:after="0"/>
            </w:pPr>
            <w:r>
              <w:rPr>
                <w:rFonts w:ascii="Calibri" w:hAnsi="Calibri" w:eastAsia="Calibri"/>
                <w:b w:val="0"/>
                <w:i w:val="0"/>
                <w:color w:val="E6DFF0"/>
                <w:sz w:val="18"/>
              </w:rPr>
              <w:t>Conversation Guide  |  Letting people know what helps</w:t>
            </w:r>
          </w:p>
        </w:tc>
      </w:tr>
    </w:tbl>
    <w:p>
      <w:pPr>
        <w:spacing w:before="0" w:after="0" w:line="120" w:lineRule="exact"/>
      </w:pPr>
    </w:p>
    <w:p>
      <w:r>
        <w:drawing>
          <wp:inline xmlns:a="http://schemas.openxmlformats.org/drawingml/2006/main" xmlns:pic="http://schemas.openxmlformats.org/drawingml/2006/picture">
            <wp:extent cx="6400800" cy="1136984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g_banner_lt_conversation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113698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 w:line="80" w:lineRule="exact"/>
      </w:pPr>
    </w:p>
    <w:p>
      <w:pPr>
        <w:spacing w:before="0" w:after="120"/>
      </w:pPr>
      <w:r>
        <w:rPr>
          <w:rFonts w:ascii="Calibri" w:hAnsi="Calibri" w:eastAsia="Calibri"/>
          <w:b/>
          <w:i w:val="0"/>
          <w:color w:val="6B6679"/>
          <w:sz w:val="18"/>
        </w:rPr>
        <w:t>About this page:</w:t>
      </w:r>
      <w:r>
        <w:rPr>
          <w:rFonts w:ascii="Calibri" w:hAnsi="Calibri" w:eastAsia="Calibri"/>
          <w:b w:val="0"/>
          <w:i w:val="0"/>
          <w:color w:val="6B6679"/>
          <w:sz w:val="18"/>
        </w:rPr>
        <w:t xml:space="preserve"> Friends often want to help but do not know how. Telling them clearly what helps, and what does not, can make support easier for everyone.</w:t>
      </w:r>
    </w:p>
    <w:p>
      <w:pPr>
        <w:spacing w:before="200" w:after="80"/>
      </w:pPr>
      <w:r>
        <w:rPr>
          <w:rFonts w:ascii="Georgia" w:hAnsi="Georgia" w:eastAsia="Georgia"/>
          <w:b w:val="0"/>
          <w:i w:val="0"/>
          <w:color w:val="4A4670"/>
          <w:sz w:val="29"/>
        </w:rPr>
        <w:t>Why this can be hard</w:t>
      </w:r>
    </w:p>
    <w:p>
      <w:pPr>
        <w:spacing w:before="0" w:after="100"/>
      </w:pPr>
      <w:r>
        <w:rPr>
          <w:rFonts w:ascii="Calibri" w:hAnsi="Calibri" w:eastAsia="Calibri"/>
          <w:b w:val="0"/>
          <w:i w:val="0"/>
          <w:color w:val="2D2A3E"/>
          <w:sz w:val="21"/>
        </w:rPr>
        <w:t>Some friends say the wrong thing, some go quiet, and some disappear for a while. Often this comes from worry about getting it wrong. A simple, specific request gives them a way back in.</w:t>
      </w:r>
    </w:p>
    <w:p>
      <w:pPr>
        <w:spacing w:before="200" w:after="80"/>
      </w:pPr>
      <w:r>
        <w:rPr>
          <w:rFonts w:ascii="Georgia" w:hAnsi="Georgia" w:eastAsia="Georgia"/>
          <w:b w:val="0"/>
          <w:i w:val="0"/>
          <w:color w:val="4A4670"/>
          <w:sz w:val="29"/>
        </w:rPr>
        <w:t>Words you might use</w:t>
      </w:r>
    </w:p>
    <w:p>
      <w:pPr>
        <w:spacing w:before="0" w:after="80"/>
        <w:ind w:left="288"/>
      </w:pPr>
      <w:r>
        <w:rPr>
          <w:rFonts w:ascii="Georgia" w:hAnsi="Georgia" w:eastAsia="Georgia"/>
          <w:b w:val="0"/>
          <w:i/>
          <w:color w:val="2D2A3E"/>
          <w:sz w:val="22"/>
        </w:rPr>
        <w:t>"You do not have to say anything perfect. It helps just to know you are thinking of me."</w:t>
      </w:r>
    </w:p>
    <w:p>
      <w:pPr>
        <w:spacing w:before="0" w:after="80"/>
        <w:ind w:left="288"/>
      </w:pPr>
      <w:r>
        <w:rPr>
          <w:rFonts w:ascii="Georgia" w:hAnsi="Georgia" w:eastAsia="Georgia"/>
          <w:b w:val="0"/>
          <w:i/>
          <w:color w:val="2D2A3E"/>
          <w:sz w:val="22"/>
        </w:rPr>
        <w:t>"Please say her name. It means a lot when people remember her out loud."</w:t>
      </w:r>
    </w:p>
    <w:p>
      <w:pPr>
        <w:spacing w:before="0" w:after="80"/>
        <w:ind w:left="288"/>
      </w:pPr>
      <w:r>
        <w:rPr>
          <w:rFonts w:ascii="Georgia" w:hAnsi="Georgia" w:eastAsia="Georgia"/>
          <w:b w:val="0"/>
          <w:i/>
          <w:color w:val="2D2A3E"/>
          <w:sz w:val="22"/>
        </w:rPr>
        <w:t>"Could you come with me to the grocery store on Saturday? Small errands feel big right now."</w:t>
      </w:r>
    </w:p>
    <w:p>
      <w:pPr>
        <w:spacing w:before="0" w:after="80"/>
        <w:ind w:left="288"/>
      </w:pPr>
      <w:r>
        <w:rPr>
          <w:rFonts w:ascii="Georgia" w:hAnsi="Georgia" w:eastAsia="Georgia"/>
          <w:b w:val="0"/>
          <w:i/>
          <w:color w:val="2D2A3E"/>
          <w:sz w:val="22"/>
        </w:rPr>
        <w:t>"I might cancel plans sometimes. Please keep inviting me anyway."</w:t>
      </w:r>
    </w:p>
    <w:p>
      <w:pPr>
        <w:spacing w:before="0" w:after="80"/>
        <w:ind w:left="288"/>
      </w:pPr>
      <w:r>
        <w:rPr>
          <w:rFonts w:ascii="Georgia" w:hAnsi="Georgia" w:eastAsia="Georgia"/>
          <w:b w:val="0"/>
          <w:i/>
          <w:color w:val="2D2A3E"/>
          <w:sz w:val="22"/>
        </w:rPr>
        <w:t>"I do not want advice right now. I just need someone to listen."</w:t>
      </w:r>
    </w:p>
    <w:p>
      <w:pPr>
        <w:spacing w:before="200" w:after="80"/>
      </w:pPr>
      <w:r>
        <w:rPr>
          <w:rFonts w:ascii="Georgia" w:hAnsi="Georgia" w:eastAsia="Georgia"/>
          <w:b w:val="0"/>
          <w:i w:val="0"/>
          <w:color w:val="4A4670"/>
          <w:sz w:val="29"/>
        </w:rPr>
        <w:t>If someone says something hurtful</w:t>
      </w:r>
    </w:p>
    <w:p>
      <w:pPr>
        <w:spacing w:before="0" w:after="100"/>
      </w:pPr>
      <w:r>
        <w:rPr>
          <w:rFonts w:ascii="Calibri" w:hAnsi="Calibri" w:eastAsia="Calibri"/>
          <w:b w:val="0"/>
          <w:i w:val="0"/>
          <w:color w:val="2D2A3E"/>
          <w:sz w:val="21"/>
        </w:rPr>
        <w:t>You can let it pass, or gently say: "I know you mean well. What helps me more is ______." You do not owe anyone an explanation of your grief.</w:t>
      </w:r>
    </w:p>
    <w:p>
      <w:pPr>
        <w:spacing w:before="200" w:after="80"/>
      </w:pPr>
      <w:r>
        <w:rPr>
          <w:rFonts w:ascii="Georgia" w:hAnsi="Georgia" w:eastAsia="Georgia"/>
          <w:b w:val="0"/>
          <w:i w:val="0"/>
          <w:color w:val="4A4670"/>
          <w:sz w:val="29"/>
        </w:rPr>
        <w:t>My list</w:t>
      </w:r>
    </w:p>
    <w:p>
      <w:pPr>
        <w:spacing w:before="0" w:after="40"/>
      </w:pPr>
      <w:r>
        <w:rPr>
          <w:rFonts w:ascii="Calibri" w:hAnsi="Calibri" w:eastAsia="Calibri"/>
          <w:b/>
          <w:i w:val="0"/>
          <w:color w:val="4A4670"/>
          <w:sz w:val="17"/>
        </w:rPr>
        <w:t>Things that help me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E0D6C8"/>
          <w:left w:val="single" w:sz="4" w:color="E0D6C8"/>
          <w:bottom w:val="single" w:sz="4" w:color="E0D6C8"/>
          <w:right w:val="single" w:sz="4" w:color="E0D6C8"/>
          <w:insideH w:val="single" w:sz="4" w:color="E0D6C8"/>
          <w:insideV w:val="single" w:sz="4" w:color="E0D6C8"/>
        </w:tblBorders>
      </w:tblPr>
      <w:tblGrid>
        <w:gridCol w:w="10080"/>
      </w:tblGrid>
      <w:tr>
        <w:trPr>
          <w:trHeight w:val="1000" w:hRule="atLeast"/>
        </w:trPr>
        <w:tc>
          <w:tcPr>
            <w:tcW w:type="dxa" w:w="10080"/>
            <w:shd w:val="clear" w:color="auto" w:fill="FBF8F4"/>
          </w:tcPr>
          <w:p/>
        </w:tc>
      </w:tr>
    </w:tbl>
    <w:p>
      <w:pPr>
        <w:spacing w:before="0" w:after="0" w:line="120" w:lineRule="exact"/>
      </w:pPr>
    </w:p>
    <w:p>
      <w:pPr>
        <w:spacing w:before="0" w:after="40"/>
      </w:pPr>
      <w:r>
        <w:rPr>
          <w:rFonts w:ascii="Calibri" w:hAnsi="Calibri" w:eastAsia="Calibri"/>
          <w:b/>
          <w:i w:val="0"/>
          <w:color w:val="4A4670"/>
          <w:sz w:val="17"/>
        </w:rPr>
        <w:t>Things that do not help right now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E0D6C8"/>
          <w:left w:val="single" w:sz="4" w:color="E0D6C8"/>
          <w:bottom w:val="single" w:sz="4" w:color="E0D6C8"/>
          <w:right w:val="single" w:sz="4" w:color="E0D6C8"/>
          <w:insideH w:val="single" w:sz="4" w:color="E0D6C8"/>
          <w:insideV w:val="single" w:sz="4" w:color="E0D6C8"/>
        </w:tblBorders>
      </w:tblPr>
      <w:tblGrid>
        <w:gridCol w:w="10080"/>
      </w:tblGrid>
      <w:tr>
        <w:trPr>
          <w:trHeight w:val="880" w:hRule="atLeast"/>
        </w:trPr>
        <w:tc>
          <w:tcPr>
            <w:tcW w:type="dxa" w:w="10080"/>
            <w:shd w:val="clear" w:color="auto" w:fill="FBF8F4"/>
          </w:tcPr>
          <w:p/>
        </w:tc>
      </w:tr>
    </w:tbl>
    <w:p>
      <w:pPr>
        <w:spacing w:before="0" w:after="0" w:line="120" w:lineRule="exact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E0D6C8"/>
          <w:left w:val="single" w:sz="4" w:color="E0D6C8"/>
          <w:bottom w:val="single" w:sz="4" w:color="E0D6C8"/>
          <w:right w:val="single" w:sz="4" w:color="E0D6C8"/>
          <w:insideH w:val="single" w:sz="4" w:color="E0D6C8"/>
          <w:insideV w:val="single" w:sz="4" w:color="E0D6C8"/>
        </w:tblBorders>
      </w:tblPr>
      <w:tblGrid>
        <w:gridCol w:w="3225"/>
        <w:gridCol w:w="6854"/>
      </w:tblGrid>
      <w:tr>
        <w:trPr>
          <w:tblHeader w:val="true"/>
        </w:trPr>
        <w:tc>
          <w:tcPr>
            <w:tcW w:type="dxa" w:w="3226"/>
            <w:shd w:val="clear" w:color="auto" w:fill="4A4670"/>
          </w:tcPr>
          <w:p>
            <w:pPr>
              <w:spacing w:before="0" w:after="0"/>
            </w:pPr>
            <w:r>
              <w:rPr>
                <w:rFonts w:ascii="Calibri" w:hAnsi="Calibri" w:eastAsia="Calibri"/>
                <w:b/>
                <w:i w:val="0"/>
                <w:color w:val="FFFFFF"/>
                <w:sz w:val="17"/>
              </w:rPr>
              <w:t>Friend</w:t>
            </w:r>
          </w:p>
        </w:tc>
        <w:tc>
          <w:tcPr>
            <w:tcW w:type="dxa" w:w="6854"/>
            <w:shd w:val="clear" w:color="auto" w:fill="4A4670"/>
          </w:tcPr>
          <w:p>
            <w:pPr>
              <w:spacing w:before="0" w:after="0"/>
            </w:pPr>
            <w:r>
              <w:rPr>
                <w:rFonts w:ascii="Calibri" w:hAnsi="Calibri" w:eastAsia="Calibri"/>
                <w:b/>
                <w:i w:val="0"/>
                <w:color w:val="FFFFFF"/>
                <w:sz w:val="17"/>
              </w:rPr>
              <w:t>Something specific I could ask them for</w:t>
            </w:r>
          </w:p>
        </w:tc>
      </w:tr>
      <w:tr>
        <w:trPr>
          <w:trHeight w:val="560" w:hRule="atLeast"/>
        </w:trPr>
        <w:tc>
          <w:tcPr>
            <w:tcW w:type="dxa" w:w="3226"/>
          </w:tcPr>
          <w:p/>
        </w:tc>
        <w:tc>
          <w:tcPr>
            <w:tcW w:type="dxa" w:w="6854"/>
          </w:tcPr>
          <w:p/>
        </w:tc>
      </w:tr>
      <w:tr>
        <w:trPr>
          <w:trHeight w:val="560" w:hRule="atLeast"/>
        </w:trPr>
        <w:tc>
          <w:tcPr>
            <w:tcW w:type="dxa" w:w="3226"/>
          </w:tcPr>
          <w:p/>
        </w:tc>
        <w:tc>
          <w:tcPr>
            <w:tcW w:type="dxa" w:w="6854"/>
          </w:tcPr>
          <w:p/>
        </w:tc>
      </w:tr>
      <w:tr>
        <w:trPr>
          <w:trHeight w:val="560" w:hRule="atLeast"/>
        </w:trPr>
        <w:tc>
          <w:tcPr>
            <w:tcW w:type="dxa" w:w="3226"/>
          </w:tcPr>
          <w:p/>
        </w:tc>
        <w:tc>
          <w:tcPr>
            <w:tcW w:type="dxa" w:w="6854"/>
          </w:tcPr>
          <w:p/>
        </w:tc>
      </w:tr>
      <w:tr>
        <w:trPr>
          <w:trHeight w:val="560" w:hRule="atLeast"/>
        </w:trPr>
        <w:tc>
          <w:tcPr>
            <w:tcW w:type="dxa" w:w="3226"/>
          </w:tcPr>
          <w:p/>
        </w:tc>
        <w:tc>
          <w:tcPr>
            <w:tcW w:type="dxa" w:w="6854"/>
          </w:tcPr>
          <w:p/>
        </w:tc>
      </w:tr>
      <w:tr>
        <w:trPr>
          <w:trHeight w:val="560" w:hRule="atLeast"/>
        </w:trPr>
        <w:tc>
          <w:tcPr>
            <w:tcW w:type="dxa" w:w="3226"/>
          </w:tcPr>
          <w:p/>
        </w:tc>
        <w:tc>
          <w:tcPr>
            <w:tcW w:type="dxa" w:w="6854"/>
          </w:tcPr>
          <w:p/>
        </w:tc>
      </w:tr>
      <w:tr>
        <w:trPr>
          <w:trHeight w:val="560" w:hRule="atLeast"/>
        </w:trPr>
        <w:tc>
          <w:tcPr>
            <w:tcW w:type="dxa" w:w="3226"/>
          </w:tcPr>
          <w:p/>
        </w:tc>
        <w:tc>
          <w:tcPr>
            <w:tcW w:type="dxa" w:w="6854"/>
          </w:tcPr>
          <w:p/>
        </w:tc>
      </w:tr>
      <w:tr>
        <w:trPr>
          <w:trHeight w:val="560" w:hRule="atLeast"/>
        </w:trPr>
        <w:tc>
          <w:tcPr>
            <w:tcW w:type="dxa" w:w="3226"/>
          </w:tcPr>
          <w:p/>
        </w:tc>
        <w:tc>
          <w:tcPr>
            <w:tcW w:type="dxa" w:w="6854"/>
          </w:tcPr>
          <w:p/>
        </w:tc>
      </w:tr>
      <w:tr>
        <w:trPr>
          <w:trHeight w:val="560" w:hRule="atLeast"/>
        </w:trPr>
        <w:tc>
          <w:tcPr>
            <w:tcW w:type="dxa" w:w="3226"/>
          </w:tcPr>
          <w:p/>
        </w:tc>
        <w:tc>
          <w:tcPr>
            <w:tcW w:type="dxa" w:w="6854"/>
          </w:tcPr>
          <w:p/>
        </w:tc>
      </w:tr>
    </w:tbl>
    <w:p>
      <w:pPr>
        <w:spacing w:before="0" w:after="0" w:line="160" w:lineRule="exact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080"/>
      </w:tblGrid>
      <w:tr>
        <w:tc>
          <w:tcPr>
            <w:tcW w:type="dxa" w:w="10080"/>
            <w:shd w:val="clear" w:color="auto" w:fill="FFF4E5"/>
            <w:tcBorders>
              <w:top w:val="nil"/>
              <w:left w:val="single" w:sz="24" w:color="C49A5A" w:space="0"/>
              <w:bottom w:val="nil"/>
              <w:right w:val="nil"/>
            </w:tcBorders>
            <w:tcMar>
              <w:top w:w="120" w:type="dxa"/>
              <w:bottom w:w="120" w:type="dxa"/>
              <w:left w:w="200" w:type="dxa"/>
              <w:right w:w="160" w:type="dxa"/>
            </w:tcMar>
          </w:tcPr>
          <w:p>
            <w:pPr>
              <w:spacing w:before="0" w:after="60"/>
            </w:pPr>
            <w:r>
              <w:rPr>
                <w:rFonts w:ascii="Calibri" w:hAnsi="Calibri" w:eastAsia="Calibri"/>
                <w:b/>
                <w:i w:val="0"/>
                <w:color w:val="2D2A3E"/>
                <w:sz w:val="20"/>
              </w:rPr>
              <w:t>In immediate danger: call 911.</w:t>
            </w:r>
            <w:r>
              <w:rPr>
                <w:rFonts w:ascii="Calibri" w:hAnsi="Calibri" w:eastAsia="Calibri"/>
                <w:b w:val="0"/>
                <w:i w:val="0"/>
                <w:color w:val="2D2A3E"/>
                <w:sz w:val="20"/>
              </w:rPr>
              <w:t xml:space="preserve"> </w:t>
            </w:r>
            <w:r>
              <w:rPr>
                <w:rFonts w:ascii="Calibri" w:hAnsi="Calibri" w:eastAsia="Calibri"/>
                <w:b/>
                <w:i w:val="0"/>
                <w:color w:val="2D2A3E"/>
                <w:sz w:val="20"/>
              </w:rPr>
              <w:t>988 Suicide &amp; Crisis Lifeline:</w:t>
            </w:r>
            <w:r>
              <w:rPr>
                <w:rFonts w:ascii="Calibri" w:hAnsi="Calibri" w:eastAsia="Calibri"/>
                <w:b w:val="0"/>
                <w:i w:val="0"/>
                <w:color w:val="2D2A3E"/>
                <w:sz w:val="20"/>
              </w:rPr>
              <w:t xml:space="preserve"> call or text </w:t>
            </w:r>
            <w:r>
              <w:rPr>
                <w:rFonts w:ascii="Calibri" w:hAnsi="Calibri" w:eastAsia="Calibri"/>
                <w:b/>
                <w:i w:val="0"/>
                <w:color w:val="2D2A3E"/>
                <w:sz w:val="20"/>
              </w:rPr>
              <w:t>988</w:t>
            </w:r>
            <w:r>
              <w:rPr>
                <w:rFonts w:ascii="Calibri" w:hAnsi="Calibri" w:eastAsia="Calibri"/>
                <w:b w:val="0"/>
                <w:i w:val="0"/>
                <w:color w:val="2D2A3E"/>
                <w:sz w:val="20"/>
              </w:rPr>
              <w:t xml:space="preserve"> (US). Elsewhere, use your local emergency number and crisis line.</w:t>
            </w:r>
          </w:p>
        </w:tc>
      </w:tr>
    </w:tbl>
    <w:p>
      <w:pPr>
        <w:spacing w:before="0" w:after="0" w:line="120" w:lineRule="exact"/>
      </w:pPr>
    </w:p>
    <w:p>
      <w:r>
        <w:rPr>
          <w:b/>
          <w:sz w:val="16"/>
        </w:rPr>
        <w:t xml:space="preserve">Legal: </w:t>
      </w:r>
      <w:hyperlink r:id="rId13">
        <w:r>
          <w:rPr>
            <w:color w:val="3D5A9E"/>
            <w:u w:val="single"/>
            <w:sz w:val="16"/>
          </w:rPr>
          <w:t xml:space="preserve">Educational Use Disclaimer</w:t>
        </w:r>
      </w:hyperlink>
      <w:r>
        <w:rPr>
          <w:sz w:val="16"/>
        </w:rPr>
        <w:t xml:space="preserve">  |  </w:t>
      </w:r>
      <w:hyperlink r:id="rId14">
        <w:r>
          <w:rPr>
            <w:color w:val="3D5A9E"/>
            <w:u w:val="single"/>
            <w:sz w:val="16"/>
          </w:rPr>
          <w:t xml:space="preserve">Terms of Use</w:t>
        </w:r>
      </w:hyperlink>
      <w:r>
        <w:rPr>
          <w:sz w:val="16"/>
        </w:rPr>
        <w:t xml:space="preserve">  |  </w:t>
      </w:r>
      <w:hyperlink r:id="rId15">
        <w:r>
          <w:rPr>
            <w:color w:val="3D5A9E"/>
            <w:u w:val="single"/>
            <w:sz w:val="16"/>
          </w:rPr>
          <w:t xml:space="preserve">Privacy Policy</w:t>
        </w:r>
      </w:hyperlink>
      <w:r>
        <w:rPr>
          <w:sz w:val="16"/>
        </w:rPr>
        <w:t xml:space="preserve">  |  </w:t>
      </w:r>
      <w:hyperlink r:id="rId16">
        <w:r>
          <w:rPr>
            <w:color w:val="3D5A9E"/>
            <w:u w:val="single"/>
            <w:sz w:val="16"/>
          </w:rPr>
          <w:t xml:space="preserve">All GGN Legal and Policies</w:t>
        </w:r>
      </w:hyperlink>
    </w:p>
    <w:sectPr w:rsidR="00FC693F" w:rsidRPr="0006063C" w:rsidSect="00034616">
      <w:headerReference w:type="default" r:id="rId9"/>
      <w:footerReference w:type="default" r:id="rId10"/>
      <w:pgSz w:w="12240" w:h="15840"/>
      <w:pgMar w:top="1152" w:right="1080" w:bottom="1080" w:left="1080" w:header="504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Calibri" w:hAnsi="Calibri" w:eastAsia="Calibri"/>
        <w:b w:val="0"/>
        <w:i w:val="0"/>
        <w:color w:val="6B6679"/>
        <w:sz w:val="15"/>
      </w:rPr>
      <w:t xml:space="preserve">Global Grief Network. For educational and support purposes; not a substitute for licensed mental health care.   Page </w:t>
    </w:r>
    <w:r>
      <w:rPr>
        <w:color w:val="6B6679"/>
        <w:sz w:val="15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329184" cy="329184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ggn-logo-clean_600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9184" cy="329184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libri" w:hAnsi="Calibri" w:eastAsia="Calibri"/>
        <w:b w:val="0"/>
        <w:i w:val="0"/>
        <w:color w:val="6B6679"/>
        <w:sz w:val="15"/>
      </w:rPr>
      <w:t xml:space="preserve">   GGN LEARNER TOOLS  |  TALKING WITH FRIENDS   |   LEARNER TOOL 04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color w:val="2D2A3E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hyperlink" Target="https://drive.google.com/file/d/19aSbvSHn3G9npmbAf0YC0IvDewOJhDCM/view?usp=drivesdk" TargetMode="External"/><Relationship Id="rId14" Type="http://schemas.openxmlformats.org/officeDocument/2006/relationships/hyperlink" Target="https://drive.google.com/file/d/1_igt66_ukeCLEwxNtDo0CbL8bfjAHPGh/view?usp=drivesdk" TargetMode="External"/><Relationship Id="rId15" Type="http://schemas.openxmlformats.org/officeDocument/2006/relationships/hyperlink" Target="https://drive.google.com/file/d/1J3XM2aijNu3L_QtT6p5J4_nm7y0ZTxn9/view?usp=drivesdk" TargetMode="External"/><Relationship Id="rId16" Type="http://schemas.openxmlformats.org/officeDocument/2006/relationships/hyperlink" Target="https://drive.google.com/drive/folders/1Zm-s81sPQxTJR3osf6RUxNMeax2foD_c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GGN Conversation Guide: Talking With Friends</dc:title>
  <dc:subject>Ggn Learner Tools</dc:subject>
  <dc:creator>Global Grief Network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