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55"/>
        <w:gridCol w:w="8424"/>
      </w:tblGrid>
      <w:tr>
        <w:tc>
          <w:tcPr>
            <w:tcW w:type="dxa" w:w="1656"/>
            <w:shd w:val="clear" w:color="auto" w:fill="FAF6F1"/>
            <w:vAlign w:val="center"/>
            <w:tcMar>
              <w:top w:w="120" w:type="dxa"/>
              <w:bottom w:w="120" w:type="dxa"/>
              <w:left w:w="140" w:type="dxa"/>
              <w:right w:w="6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868680" cy="8686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gn-logo-clean_60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4"/>
            <w:shd w:val="clear" w:color="auto" w:fill="3D3A5C"/>
            <w:vAlign w:val="center"/>
            <w:tcMar>
              <w:top w:w="140" w:type="dxa"/>
              <w:bottom w:w="160" w:type="dxa"/>
              <w:left w:w="12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C49A5A"/>
                <w:sz w:val="15"/>
                <w:spacing w:val="30"/>
              </w:rPr>
              <w:t>GLOBAL GRIEF NETWORK  |  LEARNER TOOLS</w:t>
            </w:r>
          </w:p>
          <w:p>
            <w:pPr>
              <w:spacing w:before="0" w:after="60"/>
            </w:pPr>
            <w:r>
              <w:rPr>
                <w:rFonts w:ascii="Georgia" w:hAnsi="Georgia" w:eastAsia="Georgia"/>
                <w:b w:val="0"/>
                <w:i w:val="0"/>
                <w:color w:val="FFFFFF"/>
                <w:sz w:val="42"/>
              </w:rPr>
              <w:t>Conversation Guide: Talking With Your Employer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E6DFF0"/>
                <w:sz w:val="18"/>
              </w:rPr>
              <w:t>Conversation Guide  |  Leave, flexibility, and returning to work</w:t>
            </w:r>
          </w:p>
        </w:tc>
      </w:tr>
    </w:tbl>
    <w:p>
      <w:pPr>
        <w:spacing w:before="0" w:after="0" w:line="120" w:lineRule="exact"/>
      </w:pPr>
    </w:p>
    <w:p>
      <w:r>
        <w:drawing>
          <wp:inline xmlns:a="http://schemas.openxmlformats.org/drawingml/2006/main" xmlns:pic="http://schemas.openxmlformats.org/drawingml/2006/picture">
            <wp:extent cx="6400800" cy="11369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banner_lt_conversatio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36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80" w:lineRule="exact"/>
      </w:pPr>
    </w:p>
    <w:p>
      <w:pPr>
        <w:spacing w:before="0" w:after="120"/>
      </w:pPr>
      <w:r>
        <w:rPr>
          <w:rFonts w:ascii="Calibri" w:hAnsi="Calibri" w:eastAsia="Calibri"/>
          <w:b/>
          <w:i w:val="0"/>
          <w:color w:val="6B6679"/>
          <w:sz w:val="18"/>
        </w:rPr>
        <w:t>About this page:</w:t>
      </w:r>
      <w:r>
        <w:rPr>
          <w:rFonts w:ascii="Calibri" w:hAnsi="Calibri" w:eastAsia="Calibri"/>
          <w:b w:val="0"/>
          <w:i w:val="0"/>
          <w:color w:val="6B6679"/>
          <w:sz w:val="18"/>
        </w:rPr>
        <w:t xml:space="preserve"> Telling a manager or human resources (HR) about a loss, and asking for what you need, can feel daunting. Preparing ahead can make it easier.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Find out first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>•  Check your employee handbook or intranet for bereavement leave, paid time off, and any employee assistance program (EAP).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>•  Bereavement leave rules differ by employer and by place. If you are unsure, ask HR what applies to you.</w:t>
      </w:r>
    </w:p>
    <w:p>
      <w:pPr>
        <w:spacing w:before="0" w:after="40"/>
        <w:ind w:left="216" w:hanging="216"/>
      </w:pPr>
      <w:r>
        <w:rPr>
          <w:rFonts w:ascii="Calibri" w:hAnsi="Calibri" w:eastAsia="Calibri"/>
          <w:b w:val="0"/>
          <w:i w:val="0"/>
          <w:color w:val="2D2A3E"/>
          <w:sz w:val="21"/>
        </w:rPr>
        <w:t>•  Decide what you are comfortable sharing. You can keep details private and still ask for support.</w:t>
      </w:r>
    </w:p>
    <w:p>
      <w:pPr>
        <w:spacing w:before="0" w:after="0" w:line="6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Words you might use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"I wanted to let you know that my father died on Tuesday. I will need some time off, and I would like to understand my options."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"I would prefer to keep the details private. What I can tell you is that I am grieving and may need some flexibility for a while."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"When I come back, it would help to have ______ (for example, a lighter workload for two weeks, or flexibility for appointments)."</w:t>
      </w:r>
    </w:p>
    <w:p>
      <w:pPr>
        <w:spacing w:before="0" w:after="80"/>
        <w:ind w:left="288"/>
      </w:pPr>
      <w:r>
        <w:rPr>
          <w:rFonts w:ascii="Georgia" w:hAnsi="Georgia" w:eastAsia="Georgia"/>
          <w:b w:val="0"/>
          <w:i/>
          <w:color w:val="2D2A3E"/>
          <w:sz w:val="22"/>
        </w:rPr>
        <w:t>"Could you let the team know, so I do not have to explain to everyone? Please share only ______."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Things you might ask for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Bereavement or other leave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A phased return or reduced hours</w:t>
            </w:r>
          </w:p>
        </w:tc>
      </w:tr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Flexible start or finish times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Working from home for a period</w:t>
            </w:r>
          </w:p>
        </w:tc>
      </w:tr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A temporary change in duties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A quiet space for breaks</w:t>
            </w:r>
          </w:p>
        </w:tc>
      </w:tr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Information about the EAP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A regular check-in with my manager</w:t>
            </w:r>
          </w:p>
        </w:tc>
      </w:tr>
    </w:tbl>
    <w:p>
      <w:pPr>
        <w:spacing w:before="0" w:after="0" w:line="10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My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Who I will speak with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Date and how (in person, call, email)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Leave or policy I want to ask about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What I am comfortable sharing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What I will ask for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10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Notes from the conversation and any agreed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320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val="clear" w:color="auto" w:fill="FFF4E5"/>
            <w:tcBorders>
              <w:top w:val="nil"/>
              <w:left w:val="single" w:sz="24" w:color="C49A5A" w:space="0"/>
              <w:bottom w:val="nil"/>
              <w:right w:val="nil"/>
            </w:tcBorders>
            <w:tcMar>
              <w:top w:w="120" w:type="dxa"/>
              <w:bottom w:w="120" w:type="dxa"/>
              <w:left w:w="20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In immediate danger: call 911.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 Suicide &amp; Crisis Lifeline: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call or text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(US). Elsewhere, use your local emergency number and crisis line.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sz w:val="16"/>
        </w:rPr>
        <w:t xml:space="preserve">Legal: </w:t>
      </w:r>
      <w:hyperlink r:id="rId13">
        <w:r>
          <w:rPr>
            <w:color w:val="3D5A9E"/>
            <w:u w:val="single"/>
            <w:sz w:val="16"/>
          </w:rPr>
          <w:t xml:space="preserve">Educational Use Disclaimer</w:t>
        </w:r>
      </w:hyperlink>
      <w:r>
        <w:rPr>
          <w:sz w:val="16"/>
        </w:rPr>
        <w:t xml:space="preserve">  |  </w:t>
      </w:r>
      <w:hyperlink r:id="rId14">
        <w:r>
          <w:rPr>
            <w:color w:val="3D5A9E"/>
            <w:u w:val="single"/>
            <w:sz w:val="16"/>
          </w:rPr>
          <w:t xml:space="preserve">Terms of Use</w:t>
        </w:r>
      </w:hyperlink>
      <w:r>
        <w:rPr>
          <w:sz w:val="16"/>
        </w:rPr>
        <w:t xml:space="preserve">  |  </w:t>
      </w:r>
      <w:hyperlink r:id="rId15">
        <w:r>
          <w:rPr>
            <w:color w:val="3D5A9E"/>
            <w:u w:val="single"/>
            <w:sz w:val="16"/>
          </w:rPr>
          <w:t xml:space="preserve">Privacy Policy</w:t>
        </w:r>
      </w:hyperlink>
      <w:r>
        <w:rPr>
          <w:sz w:val="16"/>
        </w:rPr>
        <w:t xml:space="preserve">  |  </w:t>
      </w:r>
      <w:hyperlink r:id="rId16">
        <w:r>
          <w:rPr>
            <w:color w:val="3D5A9E"/>
            <w:u w:val="single"/>
            <w:sz w:val="16"/>
          </w:rPr>
          <w:t xml:space="preserve">All GGN Legal and Policies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108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6B6679"/>
        <w:sz w:val="15"/>
      </w:rPr>
      <w:t xml:space="preserve">Global Grief Network. For educational and support purposes; not a substitute for licensed mental health care.   Page </w:t>
    </w:r>
    <w:r>
      <w:rPr>
        <w:color w:val="6B6679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29184" cy="3291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gn-logo-clean_6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9184" cy="3291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 w:val="0"/>
        <w:i w:val="0"/>
        <w:color w:val="6B6679"/>
        <w:sz w:val="15"/>
      </w:rPr>
      <w:t xml:space="preserve">   GGN LEARNER TOOLS  |  TALKING WITH YOUR EMPLOYER   |   LEARNER TOOL 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D2A3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hyperlink" Target="https://drive.google.com/file/d/19aSbvSHn3G9npmbAf0YC0IvDewOJhDCM/view?usp=drivesdk" TargetMode="External"/><Relationship Id="rId14" Type="http://schemas.openxmlformats.org/officeDocument/2006/relationships/hyperlink" Target="https://drive.google.com/file/d/1_igt66_ukeCLEwxNtDo0CbL8bfjAHPGh/view?usp=drivesdk" TargetMode="External"/><Relationship Id="rId15" Type="http://schemas.openxmlformats.org/officeDocument/2006/relationships/hyperlink" Target="https://drive.google.com/file/d/1J3XM2aijNu3L_QtT6p5J4_nm7y0ZTxn9/view?usp=drivesdk" TargetMode="External"/><Relationship Id="rId16" Type="http://schemas.openxmlformats.org/officeDocument/2006/relationships/hyperlink" Target="https://drive.google.com/drive/folders/1Zm-s81sPQxTJR3osf6RUxNMeax2foD_c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GGN Conversation Guide: Talking With Your Employer</dc:title>
  <dc:subject>Ggn Learner Tools</dc:subject>
  <dc:creator>Global Grief Network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