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655"/>
        <w:gridCol w:w="8424"/>
      </w:tblGrid>
      <w:tr>
        <w:tc>
          <w:tcPr>
            <w:tcW w:type="dxa" w:w="1656"/>
            <w:shd w:val="clear" w:color="auto" w:fill="FAF6F1"/>
            <w:vAlign w:val="center"/>
            <w:tcMar>
              <w:top w:w="120" w:type="dxa"/>
              <w:bottom w:w="120" w:type="dxa"/>
              <w:left w:w="140" w:type="dxa"/>
              <w:right w:w="60" w:type="dxa"/>
            </w:tcMar>
          </w:tcPr>
          <w:p>
            <w:r>
              <w:drawing>
                <wp:inline xmlns:a="http://schemas.openxmlformats.org/drawingml/2006/main" xmlns:pic="http://schemas.openxmlformats.org/drawingml/2006/picture">
                  <wp:extent cx="868680" cy="86868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ggn-logo-clean_600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8680" cy="86868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424"/>
            <w:shd w:val="clear" w:color="auto" w:fill="3D3A5C"/>
            <w:vAlign w:val="center"/>
            <w:tcMar>
              <w:top w:w="140" w:type="dxa"/>
              <w:bottom w:w="160" w:type="dxa"/>
              <w:left w:w="120" w:type="dxa"/>
              <w:right w:w="160" w:type="dxa"/>
            </w:tcMar>
          </w:tcPr>
          <w:p>
            <w:pPr>
              <w:spacing w:before="0" w:after="60"/>
            </w:pPr>
            <w:r>
              <w:rPr>
                <w:rFonts w:ascii="Calibri" w:hAnsi="Calibri" w:eastAsia="Calibri"/>
                <w:b/>
                <w:i w:val="0"/>
                <w:color w:val="C49A5A"/>
                <w:sz w:val="15"/>
                <w:spacing w:val="30"/>
              </w:rPr>
              <w:t>GLOBAL GRIEF NETWORK  |  LEARNER TOOLS</w:t>
            </w:r>
          </w:p>
          <w:p>
            <w:pPr>
              <w:spacing w:before="0" w:after="60"/>
            </w:pPr>
            <w:r>
              <w:rPr>
                <w:rFonts w:ascii="Georgia" w:hAnsi="Georgia" w:eastAsia="Georgia"/>
                <w:b w:val="0"/>
                <w:i w:val="0"/>
                <w:color w:val="FFFFFF"/>
                <w:sz w:val="42"/>
              </w:rPr>
              <w:t>Conversation Guide: Talking With Family</w:t>
            </w:r>
          </w:p>
          <w:p>
            <w:pPr>
              <w:spacing w:before="0" w:after="0"/>
            </w:pPr>
            <w:r>
              <w:rPr>
                <w:rFonts w:ascii="Calibri" w:hAnsi="Calibri" w:eastAsia="Calibri"/>
                <w:b w:val="0"/>
                <w:i w:val="0"/>
                <w:color w:val="E6DFF0"/>
                <w:sz w:val="18"/>
              </w:rPr>
              <w:t>Conversation Guide  |  Sharing needs, differences, and decisions</w:t>
            </w:r>
          </w:p>
        </w:tc>
      </w:tr>
    </w:tbl>
    <w:p>
      <w:pPr>
        <w:spacing w:before="0" w:after="0" w:line="120" w:lineRule="exact"/>
      </w:pPr>
    </w:p>
    <w:p>
      <w:r>
        <w:drawing>
          <wp:inline xmlns:a="http://schemas.openxmlformats.org/drawingml/2006/main" xmlns:pic="http://schemas.openxmlformats.org/drawingml/2006/picture">
            <wp:extent cx="6400800" cy="1136984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g_banner_lt_conversation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113698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 w:line="80" w:lineRule="exact"/>
      </w:pPr>
    </w:p>
    <w:p>
      <w:pPr>
        <w:spacing w:before="0" w:after="120"/>
      </w:pPr>
      <w:r>
        <w:rPr>
          <w:rFonts w:ascii="Calibri" w:hAnsi="Calibri" w:eastAsia="Calibri"/>
          <w:b/>
          <w:i w:val="0"/>
          <w:color w:val="6B6679"/>
          <w:sz w:val="18"/>
        </w:rPr>
        <w:t>About this page:</w:t>
      </w:r>
      <w:r>
        <w:rPr>
          <w:rFonts w:ascii="Calibri" w:hAnsi="Calibri" w:eastAsia="Calibri"/>
          <w:b w:val="0"/>
          <w:i w:val="0"/>
          <w:color w:val="6B6679"/>
          <w:sz w:val="18"/>
        </w:rPr>
        <w:t xml:space="preserve"> Families often grieve the same loss in very different ways. This guide helps you plan a conversation about what you need, how you are doing, or a decision you face together.</w:t>
      </w:r>
    </w:p>
    <w:p>
      <w:pPr>
        <w:spacing w:before="200" w:after="80"/>
      </w:pPr>
      <w:r>
        <w:rPr>
          <w:rFonts w:ascii="Georgia" w:hAnsi="Georgia" w:eastAsia="Georgia"/>
          <w:b w:val="0"/>
          <w:i w:val="0"/>
          <w:color w:val="4A4670"/>
          <w:sz w:val="29"/>
        </w:rPr>
        <w:t>Before the conversation</w:t>
      </w:r>
    </w:p>
    <w:p>
      <w:pPr>
        <w:spacing w:before="0" w:after="40"/>
        <w:ind w:left="216" w:hanging="216"/>
      </w:pPr>
      <w:r>
        <w:rPr>
          <w:rFonts w:ascii="Calibri" w:hAnsi="Calibri" w:eastAsia="Calibri"/>
          <w:b w:val="0"/>
          <w:i w:val="0"/>
          <w:color w:val="2D2A3E"/>
          <w:sz w:val="21"/>
        </w:rPr>
        <w:t>•  Choose a time when no one is rushed, and a place where people can sit comfortably.</w:t>
      </w:r>
    </w:p>
    <w:p>
      <w:pPr>
        <w:spacing w:before="0" w:after="40"/>
        <w:ind w:left="216" w:hanging="216"/>
      </w:pPr>
      <w:r>
        <w:rPr>
          <w:rFonts w:ascii="Calibri" w:hAnsi="Calibri" w:eastAsia="Calibri"/>
          <w:b w:val="0"/>
          <w:i w:val="0"/>
          <w:color w:val="2D2A3E"/>
          <w:sz w:val="21"/>
        </w:rPr>
        <w:t>•  Decide on one main thing you want to say or ask. One clear topic usually goes further than many.</w:t>
      </w:r>
    </w:p>
    <w:p>
      <w:pPr>
        <w:spacing w:before="0" w:after="40"/>
        <w:ind w:left="216" w:hanging="216"/>
      </w:pPr>
      <w:r>
        <w:rPr>
          <w:rFonts w:ascii="Calibri" w:hAnsi="Calibri" w:eastAsia="Calibri"/>
          <w:b w:val="0"/>
          <w:i w:val="0"/>
          <w:color w:val="2D2A3E"/>
          <w:sz w:val="21"/>
        </w:rPr>
        <w:t>•  Expect differences. One person may want to talk; another may want to stay busy. Neither is grieving wrong.</w:t>
      </w:r>
    </w:p>
    <w:p>
      <w:pPr>
        <w:spacing w:before="0" w:after="0" w:line="60" w:lineRule="exact"/>
      </w:pPr>
    </w:p>
    <w:p>
      <w:pPr>
        <w:spacing w:before="200" w:after="80"/>
      </w:pPr>
      <w:r>
        <w:rPr>
          <w:rFonts w:ascii="Georgia" w:hAnsi="Georgia" w:eastAsia="Georgia"/>
          <w:b w:val="0"/>
          <w:i w:val="0"/>
          <w:color w:val="4A4670"/>
          <w:sz w:val="29"/>
        </w:rPr>
        <w:t>Words you might use</w:t>
      </w:r>
    </w:p>
    <w:p>
      <w:pPr>
        <w:spacing w:before="0" w:after="80"/>
        <w:ind w:left="288"/>
      </w:pPr>
      <w:r>
        <w:rPr>
          <w:rFonts w:ascii="Georgia" w:hAnsi="Georgia" w:eastAsia="Georgia"/>
          <w:b w:val="0"/>
          <w:i/>
          <w:color w:val="2D2A3E"/>
          <w:sz w:val="22"/>
        </w:rPr>
        <w:t>"I have been missing Mom a lot this week. Could we talk for a few minutes about how we are all doing?"</w:t>
      </w:r>
    </w:p>
    <w:p>
      <w:pPr>
        <w:spacing w:before="0" w:after="80"/>
        <w:ind w:left="288"/>
      </w:pPr>
      <w:r>
        <w:rPr>
          <w:rFonts w:ascii="Georgia" w:hAnsi="Georgia" w:eastAsia="Georgia"/>
          <w:b w:val="0"/>
          <w:i/>
          <w:color w:val="2D2A3E"/>
          <w:sz w:val="22"/>
        </w:rPr>
        <w:t>"I notice we grieve differently. I am not asking you to grieve my way. I would like us to understand each other."</w:t>
      </w:r>
    </w:p>
    <w:p>
      <w:pPr>
        <w:spacing w:before="0" w:after="80"/>
        <w:ind w:left="288"/>
      </w:pPr>
      <w:r>
        <w:rPr>
          <w:rFonts w:ascii="Georgia" w:hAnsi="Georgia" w:eastAsia="Georgia"/>
          <w:b w:val="0"/>
          <w:i/>
          <w:color w:val="2D2A3E"/>
          <w:sz w:val="22"/>
        </w:rPr>
        <w:t>"Something that would help me right now is ______. Is that something you could do?"</w:t>
      </w:r>
    </w:p>
    <w:p>
      <w:pPr>
        <w:spacing w:before="0" w:after="80"/>
        <w:ind w:left="288"/>
      </w:pPr>
      <w:r>
        <w:rPr>
          <w:rFonts w:ascii="Georgia" w:hAnsi="Georgia" w:eastAsia="Georgia"/>
          <w:b w:val="0"/>
          <w:i/>
          <w:color w:val="2D2A3E"/>
          <w:sz w:val="22"/>
        </w:rPr>
        <w:t>"I am not ready to decide about the house yet. Can we set a time to talk about it next month?"</w:t>
      </w:r>
    </w:p>
    <w:p>
      <w:pPr>
        <w:spacing w:before="200" w:after="80"/>
      </w:pPr>
      <w:r>
        <w:rPr>
          <w:rFonts w:ascii="Georgia" w:hAnsi="Georgia" w:eastAsia="Georgia"/>
          <w:b w:val="0"/>
          <w:i w:val="0"/>
          <w:color w:val="4A4670"/>
          <w:sz w:val="29"/>
        </w:rPr>
        <w:t>If it gets hard</w:t>
      </w:r>
    </w:p>
    <w:p>
      <w:pPr>
        <w:spacing w:before="0" w:after="40"/>
        <w:ind w:left="216" w:hanging="216"/>
      </w:pPr>
      <w:r>
        <w:rPr>
          <w:rFonts w:ascii="Calibri" w:hAnsi="Calibri" w:eastAsia="Calibri"/>
          <w:b w:val="0"/>
          <w:i w:val="0"/>
          <w:color w:val="2D2A3E"/>
          <w:sz w:val="21"/>
        </w:rPr>
        <w:t>•  Take a pause: "I need a few minutes. Can we come back to this?"</w:t>
      </w:r>
    </w:p>
    <w:p>
      <w:pPr>
        <w:spacing w:before="0" w:after="40"/>
        <w:ind w:left="216" w:hanging="216"/>
      </w:pPr>
      <w:r>
        <w:rPr>
          <w:rFonts w:ascii="Calibri" w:hAnsi="Calibri" w:eastAsia="Calibri"/>
          <w:b w:val="0"/>
          <w:i w:val="0"/>
          <w:color w:val="2D2A3E"/>
          <w:sz w:val="21"/>
        </w:rPr>
        <w:t>•  Speak for yourself using "I" statements rather than "you always" or "you never."</w:t>
      </w:r>
    </w:p>
    <w:p>
      <w:pPr>
        <w:spacing w:before="0" w:after="40"/>
        <w:ind w:left="216" w:hanging="216"/>
      </w:pPr>
      <w:r>
        <w:rPr>
          <w:rFonts w:ascii="Calibri" w:hAnsi="Calibri" w:eastAsia="Calibri"/>
          <w:b w:val="0"/>
          <w:i w:val="0"/>
          <w:color w:val="2D2A3E"/>
          <w:sz w:val="21"/>
        </w:rPr>
        <w:t>•  It is okay to end a conversation and try again another day.</w:t>
      </w:r>
    </w:p>
    <w:p>
      <w:pPr>
        <w:spacing w:before="0" w:after="0" w:line="60" w:lineRule="exact"/>
      </w:pPr>
    </w:p>
    <w:p>
      <w:pPr>
        <w:spacing w:before="200" w:after="80"/>
      </w:pPr>
      <w:r>
        <w:rPr>
          <w:rFonts w:ascii="Georgia" w:hAnsi="Georgia" w:eastAsia="Georgia"/>
          <w:b w:val="0"/>
          <w:i w:val="0"/>
          <w:color w:val="4A4670"/>
          <w:sz w:val="29"/>
        </w:rPr>
        <w:t>My plan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0"/>
        <w:gridCol w:w="5040"/>
      </w:tblGrid>
      <w:tr>
        <w:tc>
          <w:tcPr>
            <w:tcW w:type="dxa" w:w="5040"/>
            <w:tcMar>
              <w:top w:w="50" w:type="dxa"/>
              <w:bottom w:w="70" w:type="dxa"/>
              <w:left w:w="60" w:type="dxa"/>
              <w:right w:w="100" w:type="dxa"/>
            </w:tcMar>
          </w:tcPr>
          <w:p>
            <w:pPr>
              <w:spacing w:before="0" w:after="20"/>
            </w:pPr>
            <w:r>
              <w:rPr>
                <w:rFonts w:ascii="Calibri" w:hAnsi="Calibri" w:eastAsia="Calibri"/>
                <w:b/>
                <w:i w:val="0"/>
                <w:color w:val="4A4670"/>
                <w:sz w:val="16"/>
              </w:rPr>
              <w:t>Who I want to talk with</w:t>
            </w:r>
          </w:p>
          <w:p>
            <w:pPr>
              <w:shd w:val="clear" w:color="auto" w:fill="FBF8F4"/>
              <w:spacing w:before="0" w:after="0"/>
            </w:pPr>
            <w:r>
              <w:rPr>
                <w:sz w:val="21"/>
              </w:rPr>
              <w:t xml:space="preserve"> </w:t>
            </w:r>
          </w:p>
        </w:tc>
        <w:tc>
          <w:tcPr>
            <w:tcW w:type="dxa" w:w="5040"/>
            <w:tcMar>
              <w:top w:w="50" w:type="dxa"/>
              <w:bottom w:w="70" w:type="dxa"/>
              <w:left w:w="60" w:type="dxa"/>
              <w:right w:w="100" w:type="dxa"/>
            </w:tcMar>
          </w:tcPr>
          <w:p>
            <w:pPr>
              <w:spacing w:before="0" w:after="20"/>
            </w:pPr>
            <w:r>
              <w:rPr>
                <w:rFonts w:ascii="Calibri" w:hAnsi="Calibri" w:eastAsia="Calibri"/>
                <w:b/>
                <w:i w:val="0"/>
                <w:color w:val="4A4670"/>
                <w:sz w:val="16"/>
              </w:rPr>
              <w:t>When and where</w:t>
            </w:r>
          </w:p>
          <w:p>
            <w:pPr>
              <w:shd w:val="clear" w:color="auto" w:fill="FBF8F4"/>
              <w:spacing w:before="0" w:after="0"/>
            </w:pPr>
            <w:r>
              <w:rPr>
                <w:sz w:val="21"/>
              </w:rPr>
              <w:t xml:space="preserve"> </w:t>
            </w:r>
          </w:p>
        </w:tc>
      </w:tr>
    </w:tbl>
    <w:p>
      <w:pPr>
        <w:spacing w:before="0" w:after="0" w:line="80" w:lineRule="exact"/>
      </w:pPr>
    </w:p>
    <w:p>
      <w:pPr>
        <w:spacing w:before="0" w:after="40"/>
      </w:pPr>
      <w:r>
        <w:rPr>
          <w:rFonts w:ascii="Calibri" w:hAnsi="Calibri" w:eastAsia="Calibri"/>
          <w:b/>
          <w:i w:val="0"/>
          <w:color w:val="4A4670"/>
          <w:sz w:val="17"/>
        </w:rPr>
        <w:t>The main thing I want to say or ask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E0D6C8"/>
          <w:left w:val="single" w:sz="4" w:color="E0D6C8"/>
          <w:bottom w:val="single" w:sz="4" w:color="E0D6C8"/>
          <w:right w:val="single" w:sz="4" w:color="E0D6C8"/>
          <w:insideH w:val="single" w:sz="4" w:color="E0D6C8"/>
          <w:insideV w:val="single" w:sz="4" w:color="E0D6C8"/>
        </w:tblBorders>
      </w:tblPr>
      <w:tblGrid>
        <w:gridCol w:w="10080"/>
      </w:tblGrid>
      <w:tr>
        <w:trPr>
          <w:trHeight w:val="1000" w:hRule="atLeast"/>
        </w:trPr>
        <w:tc>
          <w:tcPr>
            <w:tcW w:type="dxa" w:w="10080"/>
            <w:shd w:val="clear" w:color="auto" w:fill="FBF8F4"/>
          </w:tcPr>
          <w:p/>
        </w:tc>
      </w:tr>
    </w:tbl>
    <w:p>
      <w:pPr>
        <w:spacing w:before="0" w:after="0" w:line="120" w:lineRule="exact"/>
      </w:pPr>
    </w:p>
    <w:p>
      <w:pPr>
        <w:spacing w:before="0" w:after="40"/>
      </w:pPr>
      <w:r>
        <w:rPr>
          <w:rFonts w:ascii="Calibri" w:hAnsi="Calibri" w:eastAsia="Calibri"/>
          <w:b/>
          <w:i w:val="0"/>
          <w:color w:val="4A4670"/>
          <w:sz w:val="17"/>
        </w:rPr>
        <w:t>What I am worried might happen, and how I could respond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E0D6C8"/>
          <w:left w:val="single" w:sz="4" w:color="E0D6C8"/>
          <w:bottom w:val="single" w:sz="4" w:color="E0D6C8"/>
          <w:right w:val="single" w:sz="4" w:color="E0D6C8"/>
          <w:insideH w:val="single" w:sz="4" w:color="E0D6C8"/>
          <w:insideV w:val="single" w:sz="4" w:color="E0D6C8"/>
        </w:tblBorders>
      </w:tblPr>
      <w:tblGrid>
        <w:gridCol w:w="10080"/>
      </w:tblGrid>
      <w:tr>
        <w:trPr>
          <w:trHeight w:val="1800" w:hRule="atLeast"/>
        </w:trPr>
        <w:tc>
          <w:tcPr>
            <w:tcW w:type="dxa" w:w="10080"/>
            <w:shd w:val="clear" w:color="auto" w:fill="FBF8F4"/>
          </w:tcPr>
          <w:p/>
        </w:tc>
      </w:tr>
    </w:tbl>
    <w:p>
      <w:pPr>
        <w:spacing w:before="0" w:after="0" w:line="120" w:lineRule="exact"/>
      </w:pPr>
    </w:p>
    <w:p>
      <w:pPr>
        <w:spacing w:before="0" w:after="40"/>
      </w:pPr>
      <w:r>
        <w:rPr>
          <w:rFonts w:ascii="Calibri" w:hAnsi="Calibri" w:eastAsia="Calibri"/>
          <w:b/>
          <w:i w:val="0"/>
          <w:color w:val="4A4670"/>
          <w:sz w:val="17"/>
        </w:rPr>
        <w:t>After the conversation: what went well, and what I want to try next time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E0D6C8"/>
          <w:left w:val="single" w:sz="4" w:color="E0D6C8"/>
          <w:bottom w:val="single" w:sz="4" w:color="E0D6C8"/>
          <w:right w:val="single" w:sz="4" w:color="E0D6C8"/>
          <w:insideH w:val="single" w:sz="4" w:color="E0D6C8"/>
          <w:insideV w:val="single" w:sz="4" w:color="E0D6C8"/>
        </w:tblBorders>
      </w:tblPr>
      <w:tblGrid>
        <w:gridCol w:w="10080"/>
      </w:tblGrid>
      <w:tr>
        <w:trPr>
          <w:trHeight w:val="2400" w:hRule="atLeast"/>
        </w:trPr>
        <w:tc>
          <w:tcPr>
            <w:tcW w:type="dxa" w:w="10080"/>
            <w:shd w:val="clear" w:color="auto" w:fill="FBF8F4"/>
          </w:tcPr>
          <w:p/>
        </w:tc>
      </w:tr>
    </w:tbl>
    <w:p>
      <w:pPr>
        <w:spacing w:before="0" w:after="0" w:line="120" w:lineRule="exact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080"/>
      </w:tblGrid>
      <w:tr>
        <w:tc>
          <w:tcPr>
            <w:tcW w:type="dxa" w:w="10080"/>
            <w:shd w:val="clear" w:color="auto" w:fill="FFF4E5"/>
            <w:tcBorders>
              <w:top w:val="nil"/>
              <w:left w:val="single" w:sz="24" w:color="C49A5A" w:space="0"/>
              <w:bottom w:val="nil"/>
              <w:right w:val="nil"/>
            </w:tcBorders>
            <w:tcMar>
              <w:top w:w="120" w:type="dxa"/>
              <w:bottom w:w="120" w:type="dxa"/>
              <w:left w:w="200" w:type="dxa"/>
              <w:right w:w="160" w:type="dxa"/>
            </w:tcMar>
          </w:tcPr>
          <w:p>
            <w:pPr>
              <w:spacing w:before="0" w:after="60"/>
            </w:pPr>
            <w:r>
              <w:rPr>
                <w:rFonts w:ascii="Calibri" w:hAnsi="Calibri" w:eastAsia="Calibri"/>
                <w:b/>
                <w:i w:val="0"/>
                <w:color w:val="2D2A3E"/>
                <w:sz w:val="20"/>
              </w:rPr>
              <w:t>In immediate danger: call 911.</w:t>
            </w:r>
            <w:r>
              <w:rPr>
                <w:rFonts w:ascii="Calibri" w:hAnsi="Calibri" w:eastAsia="Calibri"/>
                <w:b w:val="0"/>
                <w:i w:val="0"/>
                <w:color w:val="2D2A3E"/>
                <w:sz w:val="20"/>
              </w:rPr>
              <w:t xml:space="preserve"> </w:t>
            </w:r>
            <w:r>
              <w:rPr>
                <w:rFonts w:ascii="Calibri" w:hAnsi="Calibri" w:eastAsia="Calibri"/>
                <w:b/>
                <w:i w:val="0"/>
                <w:color w:val="2D2A3E"/>
                <w:sz w:val="20"/>
              </w:rPr>
              <w:t>988 Suicide &amp; Crisis Lifeline:</w:t>
            </w:r>
            <w:r>
              <w:rPr>
                <w:rFonts w:ascii="Calibri" w:hAnsi="Calibri" w:eastAsia="Calibri"/>
                <w:b w:val="0"/>
                <w:i w:val="0"/>
                <w:color w:val="2D2A3E"/>
                <w:sz w:val="20"/>
              </w:rPr>
              <w:t xml:space="preserve"> call or text </w:t>
            </w:r>
            <w:r>
              <w:rPr>
                <w:rFonts w:ascii="Calibri" w:hAnsi="Calibri" w:eastAsia="Calibri"/>
                <w:b/>
                <w:i w:val="0"/>
                <w:color w:val="2D2A3E"/>
                <w:sz w:val="20"/>
              </w:rPr>
              <w:t>988</w:t>
            </w:r>
            <w:r>
              <w:rPr>
                <w:rFonts w:ascii="Calibri" w:hAnsi="Calibri" w:eastAsia="Calibri"/>
                <w:b w:val="0"/>
                <w:i w:val="0"/>
                <w:color w:val="2D2A3E"/>
                <w:sz w:val="20"/>
              </w:rPr>
              <w:t xml:space="preserve"> (US). Elsewhere, use your local emergency number and crisis line.</w:t>
            </w:r>
          </w:p>
        </w:tc>
      </w:tr>
    </w:tbl>
    <w:p>
      <w:pPr>
        <w:spacing w:before="0" w:after="0" w:line="120" w:lineRule="exact"/>
      </w:pPr>
    </w:p>
    <w:p>
      <w:r>
        <w:rPr>
          <w:b/>
          <w:sz w:val="16"/>
        </w:rPr>
        <w:t xml:space="preserve">Legal: </w:t>
      </w:r>
      <w:hyperlink r:id="rId13">
        <w:r>
          <w:rPr>
            <w:color w:val="3D5A9E"/>
            <w:u w:val="single"/>
            <w:sz w:val="16"/>
          </w:rPr>
          <w:t xml:space="preserve">Educational Use Disclaimer</w:t>
        </w:r>
      </w:hyperlink>
      <w:r>
        <w:rPr>
          <w:sz w:val="16"/>
        </w:rPr>
        <w:t xml:space="preserve">  |  </w:t>
      </w:r>
      <w:hyperlink r:id="rId14">
        <w:r>
          <w:rPr>
            <w:color w:val="3D5A9E"/>
            <w:u w:val="single"/>
            <w:sz w:val="16"/>
          </w:rPr>
          <w:t xml:space="preserve">Terms of Use</w:t>
        </w:r>
      </w:hyperlink>
      <w:r>
        <w:rPr>
          <w:sz w:val="16"/>
        </w:rPr>
        <w:t xml:space="preserve">  |  </w:t>
      </w:r>
      <w:hyperlink r:id="rId15">
        <w:r>
          <w:rPr>
            <w:color w:val="3D5A9E"/>
            <w:u w:val="single"/>
            <w:sz w:val="16"/>
          </w:rPr>
          <w:t xml:space="preserve">Privacy Policy</w:t>
        </w:r>
      </w:hyperlink>
      <w:r>
        <w:rPr>
          <w:sz w:val="16"/>
        </w:rPr>
        <w:t xml:space="preserve">  |  </w:t>
      </w:r>
      <w:hyperlink r:id="rId16">
        <w:r>
          <w:rPr>
            <w:color w:val="3D5A9E"/>
            <w:u w:val="single"/>
            <w:sz w:val="16"/>
          </w:rPr>
          <w:t xml:space="preserve">All GGN Legal and Policies</w:t>
        </w:r>
      </w:hyperlink>
    </w:p>
    <w:sectPr w:rsidR="00FC693F" w:rsidRPr="0006063C" w:rsidSect="00034616">
      <w:headerReference w:type="default" r:id="rId9"/>
      <w:footerReference w:type="default" r:id="rId10"/>
      <w:pgSz w:w="12240" w:h="15840"/>
      <w:pgMar w:top="1152" w:right="1080" w:bottom="1080" w:left="1080" w:header="504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Calibri" w:hAnsi="Calibri" w:eastAsia="Calibri"/>
        <w:b w:val="0"/>
        <w:i w:val="0"/>
        <w:color w:val="6B6679"/>
        <w:sz w:val="15"/>
      </w:rPr>
      <w:t xml:space="preserve">Global Grief Network. For educational and support purposes; not a substitute for licensed mental health care.   Page </w:t>
    </w:r>
    <w:r>
      <w:rPr>
        <w:color w:val="6B6679"/>
        <w:sz w:val="15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329184" cy="329184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ggn-logo-clean_600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9184" cy="329184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libri" w:hAnsi="Calibri" w:eastAsia="Calibri"/>
        <w:b w:val="0"/>
        <w:i w:val="0"/>
        <w:color w:val="6B6679"/>
        <w:sz w:val="15"/>
      </w:rPr>
      <w:t xml:space="preserve">   GGN LEARNER TOOLS  |  TALKING WITH FAMILY   |   LEARNER TOOL 02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color w:val="2D2A3E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Relationship Id="rId12" Type="http://schemas.openxmlformats.org/officeDocument/2006/relationships/image" Target="media/image2.jpg"/><Relationship Id="rId13" Type="http://schemas.openxmlformats.org/officeDocument/2006/relationships/hyperlink" Target="https://drive.google.com/file/d/19aSbvSHn3G9npmbAf0YC0IvDewOJhDCM/view?usp=drivesdk" TargetMode="External"/><Relationship Id="rId14" Type="http://schemas.openxmlformats.org/officeDocument/2006/relationships/hyperlink" Target="https://drive.google.com/file/d/1_igt66_ukeCLEwxNtDo0CbL8bfjAHPGh/view?usp=drivesdk" TargetMode="External"/><Relationship Id="rId15" Type="http://schemas.openxmlformats.org/officeDocument/2006/relationships/hyperlink" Target="https://drive.google.com/file/d/1J3XM2aijNu3L_QtT6p5J4_nm7y0ZTxn9/view?usp=drivesdk" TargetMode="External"/><Relationship Id="rId16" Type="http://schemas.openxmlformats.org/officeDocument/2006/relationships/hyperlink" Target="https://drive.google.com/drive/folders/1Zm-s81sPQxTJR3osf6RUxNMeax2foD_c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GGN Conversation Guide: Talking With Family</dc:title>
  <dc:subject>Ggn Learner Tools</dc:subject>
  <dc:creator>Global Grief Network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